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C0" w:rsidRDefault="00305599" w:rsidP="002E4B08">
      <w:pPr>
        <w:spacing w:before="16"/>
        <w:rPr>
          <w:rFonts w:ascii="Baskerville Old Face" w:eastAsia="Baskerville Old Face" w:hAnsi="Baskerville Old Face" w:cs="Baskerville Old Face"/>
          <w:sz w:val="2"/>
          <w:szCs w:val="2"/>
        </w:rPr>
      </w:pPr>
      <w:r>
        <w:pict>
          <v:group id="_x0000_s1029" style="position:absolute;margin-left:70.85pt;margin-top:-5.05pt;width:93.6pt;height:124.8pt;z-index:1048;mso-position-horizontal-relative:page" coordorigin="720,1075" coordsize="162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93;top:1148;width:1466;height:2013">
              <v:imagedata r:id="rId8" o:title=""/>
            </v:shape>
            <v:group id="_x0000_s1034" style="position:absolute;left:727;top:1082;width:1607;height:2147" coordorigin="727,1082" coordsize="1607,2147">
              <v:shape id="_x0000_s1035" style="position:absolute;left:727;top:1082;width:1607;height:2147" coordorigin="727,1082" coordsize="1607,2147" path="m727,3228r1606,l2333,1082r-1606,l727,3228xe" filled="f" strokecolor="#231f20" strokeweight=".23531mm">
                <v:path arrowok="t"/>
              </v:shape>
            </v:group>
            <v:group id="_x0000_s1032" style="position:absolute;left:760;top:1115;width:1540;height:2080" coordorigin="760,1115" coordsize="1540,2080">
              <v:shape id="_x0000_s1033" style="position:absolute;left:760;top:1115;width:1540;height:2080" coordorigin="760,1115" coordsize="1540,2080" path="m760,3195r1540,l2300,1115r-1540,l760,3195xe" filled="f" strokecolor="#231f20" strokeweight=".23531mm">
                <v:path arrowok="t"/>
              </v:shape>
            </v:group>
            <v:group id="_x0000_s1030" style="position:absolute;left:793;top:1148;width:1474;height:2014" coordorigin="793,1148" coordsize="1474,2014">
              <v:shape id="_x0000_s1031" style="position:absolute;left:793;top:1148;width:1474;height:2014" coordorigin="793,1148" coordsize="1474,2014" path="m793,3162r1474,l2267,1148r-1474,l793,3162xe" filled="f" strokecolor="#231f20" strokeweight=".23531mm">
                <v:path arrowok="t"/>
              </v:shape>
            </v:group>
            <w10:wrap anchorx="page"/>
          </v:group>
        </w:pict>
      </w:r>
    </w:p>
    <w:p w:rsidR="007713C0" w:rsidRDefault="007713C0" w:rsidP="002E4B08">
      <w:pPr>
        <w:spacing w:line="40" w:lineRule="exact"/>
        <w:rPr>
          <w:rFonts w:ascii="Baskerville Old Face" w:eastAsia="Baskerville Old Face" w:hAnsi="Baskerville Old Face" w:cs="Baskerville Old Face"/>
          <w:sz w:val="4"/>
          <w:szCs w:val="4"/>
        </w:rPr>
      </w:pPr>
    </w:p>
    <w:p w:rsidR="00E746D3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CDEFF" wp14:editId="5D53C802">
                <wp:simplePos x="0" y="0"/>
                <wp:positionH relativeFrom="column">
                  <wp:posOffset>1342332</wp:posOffset>
                </wp:positionH>
                <wp:positionV relativeFrom="paragraph">
                  <wp:posOffset>-2540</wp:posOffset>
                </wp:positionV>
                <wp:extent cx="2680335" cy="1322705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C2B" w:rsidRPr="00A50889" w:rsidRDefault="00276C2B" w:rsidP="00382484">
                            <w:pPr>
                              <w:spacing w:before="60"/>
                              <w:rPr>
                                <w:rFonts w:ascii="Constantia" w:hAnsi="Constantia"/>
                                <w:b/>
                                <w:smallCap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mallCaps/>
                                <w:sz w:val="27"/>
                                <w:szCs w:val="27"/>
                              </w:rPr>
                              <w:t>John Lamberski</w:t>
                            </w:r>
                          </w:p>
                          <w:p w:rsidR="00276C2B" w:rsidRPr="00A50889" w:rsidRDefault="00276C2B" w:rsidP="002857FF">
                            <w:pPr>
                              <w:rPr>
                                <w:rFonts w:ascii="Constantia" w:hAnsi="Constantia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A50889">
                              <w:rPr>
                                <w:rFonts w:ascii="Constantia" w:hAnsi="Constantia"/>
                                <w:b/>
                                <w:smallCaps/>
                                <w:color w:val="002060"/>
                                <w:sz w:val="28"/>
                              </w:rPr>
                              <w:t>Mercer Thompson llc</w:t>
                            </w:r>
                          </w:p>
                          <w:p w:rsidR="00276C2B" w:rsidRPr="00324766" w:rsidRDefault="00276C2B" w:rsidP="00AC2D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766">
                              <w:rPr>
                                <w:rFonts w:ascii="Times New Roman" w:hAnsi="Times New Roman" w:cs="Times New Roman"/>
                              </w:rPr>
                              <w:t>191 Peachtree Street, N.E., Suite 4410</w:t>
                            </w:r>
                          </w:p>
                          <w:p w:rsidR="00276C2B" w:rsidRPr="00324766" w:rsidRDefault="00276C2B" w:rsidP="00AC2D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766">
                              <w:rPr>
                                <w:rFonts w:ascii="Times New Roman" w:hAnsi="Times New Roman" w:cs="Times New Roman"/>
                              </w:rPr>
                              <w:t>Atlanta, Georgia  30303</w:t>
                            </w:r>
                          </w:p>
                          <w:p w:rsidR="00276C2B" w:rsidRPr="00324766" w:rsidRDefault="00276C2B" w:rsidP="00AC2D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4766">
                              <w:rPr>
                                <w:rFonts w:ascii="Times New Roman" w:hAnsi="Times New Roman" w:cs="Times New Roman"/>
                              </w:rPr>
                              <w:t>Direct Dial:  (404) 577-4205</w:t>
                            </w:r>
                          </w:p>
                          <w:p w:rsidR="00276C2B" w:rsidRPr="00324766" w:rsidRDefault="00305599" w:rsidP="00AC2D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 w:rsidR="00276C2B" w:rsidRPr="0032476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jmlamberski@mercerthompson.com</w:t>
                              </w:r>
                            </w:hyperlink>
                          </w:p>
                          <w:p w:rsidR="00276C2B" w:rsidRPr="00061E8C" w:rsidRDefault="00276C2B" w:rsidP="00061E8C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pt;margin-top:-.2pt;width:211.05pt;height:1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nD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" stroked="f">
                <v:textbox>
                  <w:txbxContent>
                    <w:p w:rsidR="00276C2B" w:rsidRPr="00A50889" w:rsidRDefault="00276C2B" w:rsidP="00382484">
                      <w:pPr>
                        <w:spacing w:before="60"/>
                        <w:rPr>
                          <w:rFonts w:ascii="Constantia" w:hAnsi="Constantia"/>
                          <w:b/>
                          <w:smallCaps/>
                          <w:sz w:val="27"/>
                          <w:szCs w:val="27"/>
                        </w:rPr>
                      </w:pPr>
                      <w:r>
                        <w:rPr>
                          <w:rFonts w:ascii="Constantia" w:hAnsi="Constantia"/>
                          <w:b/>
                          <w:smallCaps/>
                          <w:sz w:val="27"/>
                          <w:szCs w:val="27"/>
                        </w:rPr>
                        <w:t>John Lamberski</w:t>
                      </w:r>
                    </w:p>
                    <w:p w:rsidR="00276C2B" w:rsidRPr="00A50889" w:rsidRDefault="00276C2B" w:rsidP="002857FF">
                      <w:pPr>
                        <w:rPr>
                          <w:rFonts w:ascii="Constantia" w:hAnsi="Constantia"/>
                          <w:b/>
                          <w:smallCaps/>
                          <w:color w:val="002060"/>
                          <w:sz w:val="28"/>
                        </w:rPr>
                      </w:pPr>
                      <w:r w:rsidRPr="00A50889">
                        <w:rPr>
                          <w:rFonts w:ascii="Constantia" w:hAnsi="Constantia"/>
                          <w:b/>
                          <w:smallCaps/>
                          <w:color w:val="002060"/>
                          <w:sz w:val="28"/>
                        </w:rPr>
                        <w:t>Mercer Thompson llc</w:t>
                      </w:r>
                    </w:p>
                    <w:p w:rsidR="00276C2B" w:rsidRPr="00324766" w:rsidRDefault="00276C2B" w:rsidP="00AC2D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4766">
                        <w:rPr>
                          <w:rFonts w:ascii="Times New Roman" w:hAnsi="Times New Roman" w:cs="Times New Roman"/>
                        </w:rPr>
                        <w:t>191 Peachtree Street, N.E., Suite 4410</w:t>
                      </w:r>
                    </w:p>
                    <w:p w:rsidR="00276C2B" w:rsidRPr="00324766" w:rsidRDefault="00276C2B" w:rsidP="00AC2D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4766">
                        <w:rPr>
                          <w:rFonts w:ascii="Times New Roman" w:hAnsi="Times New Roman" w:cs="Times New Roman"/>
                        </w:rPr>
                        <w:t>Atlanta, Georgia  30303</w:t>
                      </w:r>
                    </w:p>
                    <w:p w:rsidR="00276C2B" w:rsidRPr="00324766" w:rsidRDefault="00276C2B" w:rsidP="00AC2D6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4766">
                        <w:rPr>
                          <w:rFonts w:ascii="Times New Roman" w:hAnsi="Times New Roman" w:cs="Times New Roman"/>
                        </w:rPr>
                        <w:t>Direct Dial:  (404) 577-4205</w:t>
                      </w:r>
                    </w:p>
                    <w:p w:rsidR="00276C2B" w:rsidRPr="00324766" w:rsidRDefault="00324766" w:rsidP="00AC2D64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0" w:history="1">
                        <w:r w:rsidR="00276C2B" w:rsidRPr="00324766">
                          <w:rPr>
                            <w:rStyle w:val="Hyperlink"/>
                            <w:rFonts w:ascii="Times New Roman" w:hAnsi="Times New Roman" w:cs="Times New Roman"/>
                          </w:rPr>
                          <w:t>jmlamberski@mercerthompson.com</w:t>
                        </w:r>
                      </w:hyperlink>
                    </w:p>
                    <w:p w:rsidR="00276C2B" w:rsidRPr="00061E8C" w:rsidRDefault="00276C2B" w:rsidP="00061E8C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76C2B" w:rsidRDefault="00276C2B" w:rsidP="002E4B0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E746D3" w:rsidRPr="008E10C5" w:rsidRDefault="00E746D3" w:rsidP="002E4B08">
      <w:pPr>
        <w:pStyle w:val="Heading1"/>
        <w:ind w:left="0"/>
        <w:rPr>
          <w:b w:val="0"/>
          <w:bCs w:val="0"/>
        </w:rPr>
      </w:pPr>
      <w:r w:rsidRPr="008E10C5">
        <w:rPr>
          <w:b w:val="0"/>
          <w:color w:val="231F20"/>
          <w:u w:val="single"/>
        </w:rPr>
        <w:t>PROFESSIONAL</w:t>
      </w:r>
      <w:r w:rsidRPr="008E10C5">
        <w:rPr>
          <w:b w:val="0"/>
          <w:color w:val="231F20"/>
          <w:spacing w:val="-14"/>
          <w:u w:val="single"/>
        </w:rPr>
        <w:t xml:space="preserve"> </w:t>
      </w:r>
      <w:r w:rsidRPr="008E10C5">
        <w:rPr>
          <w:b w:val="0"/>
          <w:color w:val="231F20"/>
          <w:u w:val="single"/>
        </w:rPr>
        <w:t>EXPERIENCE</w:t>
      </w:r>
      <w:r w:rsidR="00324766" w:rsidRPr="008E10C5">
        <w:rPr>
          <w:b w:val="0"/>
          <w:color w:val="231F20"/>
        </w:rPr>
        <w:t>:</w:t>
      </w:r>
    </w:p>
    <w:p w:rsidR="00E746D3" w:rsidRPr="002E4B08" w:rsidRDefault="00E746D3" w:rsidP="002E4B0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6D3" w:rsidRPr="002E4B08" w:rsidRDefault="00E746D3" w:rsidP="002E4B0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Principal, Mercer Thompson LLC, July</w:t>
      </w:r>
      <w:r w:rsidRPr="002E4B08">
        <w:rPr>
          <w:rFonts w:ascii="Times New Roman"/>
          <w:color w:val="231F20"/>
          <w:spacing w:val="-6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2009-Present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Partner, Troutman Sanders </w:t>
      </w:r>
      <w:r w:rsidRPr="002E4B08">
        <w:rPr>
          <w:rFonts w:ascii="Times New Roman"/>
          <w:color w:val="231F20"/>
          <w:spacing w:val="-7"/>
          <w:sz w:val="24"/>
          <w:szCs w:val="24"/>
        </w:rPr>
        <w:t>LLP,</w:t>
      </w:r>
      <w:r w:rsidRPr="002E4B08">
        <w:rPr>
          <w:rFonts w:ascii="Times New Roman"/>
          <w:color w:val="231F20"/>
          <w:spacing w:val="-6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1994-2009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Associate, Troutman Sanders </w:t>
      </w:r>
      <w:r w:rsidRPr="002E4B08">
        <w:rPr>
          <w:rFonts w:ascii="Times New Roman"/>
          <w:color w:val="231F20"/>
          <w:spacing w:val="-7"/>
          <w:sz w:val="24"/>
          <w:szCs w:val="24"/>
        </w:rPr>
        <w:t>LLP,</w:t>
      </w:r>
      <w:r w:rsidRPr="002E4B08">
        <w:rPr>
          <w:rFonts w:ascii="Times New Roman"/>
          <w:color w:val="231F20"/>
          <w:spacing w:val="-6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1987-1993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Staff Attorney, New </w:t>
      </w:r>
      <w:r w:rsidRPr="002E4B08">
        <w:rPr>
          <w:rFonts w:ascii="Times New Roman"/>
          <w:color w:val="231F20"/>
          <w:spacing w:val="-7"/>
          <w:sz w:val="24"/>
          <w:szCs w:val="24"/>
        </w:rPr>
        <w:t xml:space="preserve">York </w:t>
      </w:r>
      <w:r w:rsidRPr="002E4B08">
        <w:rPr>
          <w:rFonts w:ascii="Times New Roman"/>
          <w:color w:val="231F20"/>
          <w:sz w:val="24"/>
          <w:szCs w:val="24"/>
        </w:rPr>
        <w:t>Power Authority,</w:t>
      </w:r>
      <w:r w:rsidRPr="002E4B08">
        <w:rPr>
          <w:rFonts w:ascii="Times New Roman"/>
          <w:color w:val="231F20"/>
          <w:spacing w:val="-33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1983-1987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Licensing Engineer / Manager, </w:t>
      </w:r>
      <w:r w:rsidRPr="002E4B08">
        <w:rPr>
          <w:rFonts w:ascii="Times New Roman"/>
          <w:color w:val="231F20"/>
          <w:spacing w:val="-8"/>
          <w:sz w:val="24"/>
          <w:szCs w:val="24"/>
        </w:rPr>
        <w:t xml:space="preserve">N.Y. </w:t>
      </w:r>
      <w:r w:rsidRPr="002E4B08">
        <w:rPr>
          <w:rFonts w:ascii="Times New Roman"/>
          <w:color w:val="231F20"/>
          <w:sz w:val="24"/>
          <w:szCs w:val="24"/>
        </w:rPr>
        <w:t>Power Authority,</w:t>
      </w:r>
      <w:r w:rsidRPr="002E4B08">
        <w:rPr>
          <w:rFonts w:ascii="Times New Roman"/>
          <w:color w:val="231F20"/>
          <w:spacing w:val="-9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1979-1983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Licensing Engineer, Burns &amp; Roe,</w:t>
      </w:r>
      <w:r w:rsidRPr="002E4B08">
        <w:rPr>
          <w:rFonts w:ascii="Times New Roman"/>
          <w:color w:val="231F20"/>
          <w:spacing w:val="-1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1977-1979</w:t>
      </w:r>
    </w:p>
    <w:p w:rsidR="00E746D3" w:rsidRPr="002E4B08" w:rsidRDefault="00E746D3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Construction Engineer, General Dynamics,</w:t>
      </w:r>
      <w:r w:rsidRPr="002E4B08">
        <w:rPr>
          <w:rFonts w:ascii="Times New Roman"/>
          <w:color w:val="231F20"/>
          <w:spacing w:val="-1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1975-1977</w:t>
      </w:r>
    </w:p>
    <w:p w:rsidR="00E746D3" w:rsidRPr="002E4B08" w:rsidRDefault="00E746D3" w:rsidP="002E4B0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746D3" w:rsidRPr="008E10C5" w:rsidRDefault="00E746D3" w:rsidP="002E4B08">
      <w:pPr>
        <w:pStyle w:val="BodyText"/>
        <w:spacing w:before="0"/>
        <w:ind w:left="0" w:firstLine="0"/>
        <w:jc w:val="both"/>
        <w:rPr>
          <w:color w:val="231F20"/>
        </w:rPr>
      </w:pPr>
      <w:r w:rsidRPr="008E10C5">
        <w:rPr>
          <w:color w:val="231F20"/>
          <w:u w:val="single"/>
        </w:rPr>
        <w:t>HONORS</w:t>
      </w:r>
      <w:r w:rsidRPr="008E10C5">
        <w:rPr>
          <w:color w:val="231F20"/>
        </w:rPr>
        <w:t>:</w:t>
      </w:r>
    </w:p>
    <w:p w:rsidR="002E4B08" w:rsidRPr="002E4B08" w:rsidRDefault="002E4B08" w:rsidP="002E4B08">
      <w:pPr>
        <w:pStyle w:val="BodyText"/>
        <w:spacing w:before="0"/>
        <w:ind w:left="0" w:firstLine="0"/>
        <w:jc w:val="both"/>
        <w:rPr>
          <w:color w:val="231F20"/>
          <w:sz w:val="6"/>
        </w:rPr>
      </w:pPr>
    </w:p>
    <w:p w:rsidR="00563458" w:rsidRPr="002E4B08" w:rsidRDefault="00563458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Chambers USA</w:t>
      </w:r>
      <w:r w:rsidRPr="002E4B08">
        <w:rPr>
          <w:rFonts w:ascii="Times New Roman"/>
          <w:color w:val="231F20"/>
          <w:sz w:val="24"/>
          <w:szCs w:val="24"/>
        </w:rPr>
        <w:t>–</w:t>
      </w:r>
      <w:r w:rsidRPr="002E4B08">
        <w:rPr>
          <w:rFonts w:ascii="Times New Roman"/>
          <w:color w:val="231F20"/>
          <w:sz w:val="24"/>
          <w:szCs w:val="24"/>
        </w:rPr>
        <w:t xml:space="preserve"> </w:t>
      </w:r>
      <w:r w:rsidR="008E35B3">
        <w:rPr>
          <w:rFonts w:ascii="Times New Roman"/>
          <w:color w:val="231F20"/>
          <w:sz w:val="24"/>
          <w:szCs w:val="24"/>
        </w:rPr>
        <w:t xml:space="preserve">Ranked Lawyer, Band </w:t>
      </w:r>
      <w:r w:rsidR="00784554">
        <w:rPr>
          <w:rFonts w:ascii="Times New Roman"/>
          <w:color w:val="231F20"/>
          <w:sz w:val="24"/>
          <w:szCs w:val="24"/>
        </w:rPr>
        <w:t>2</w:t>
      </w:r>
      <w:r w:rsidR="008E35B3">
        <w:rPr>
          <w:rFonts w:ascii="Times New Roman"/>
          <w:color w:val="231F20"/>
          <w:sz w:val="24"/>
          <w:szCs w:val="24"/>
        </w:rPr>
        <w:t xml:space="preserve">, </w:t>
      </w:r>
      <w:r w:rsidR="002E4B08" w:rsidRPr="002E4B08">
        <w:rPr>
          <w:rFonts w:ascii="Times New Roman"/>
          <w:color w:val="231F20"/>
          <w:sz w:val="24"/>
          <w:szCs w:val="24"/>
        </w:rPr>
        <w:t>Energy Law (Georgia</w:t>
      </w:r>
      <w:r w:rsidR="00CC5689">
        <w:rPr>
          <w:rFonts w:ascii="Times New Roman"/>
          <w:color w:val="231F20"/>
          <w:sz w:val="24"/>
          <w:szCs w:val="24"/>
        </w:rPr>
        <w:t xml:space="preserve">, </w:t>
      </w:r>
      <w:r w:rsidRPr="002E4B08">
        <w:rPr>
          <w:rFonts w:ascii="Times New Roman"/>
          <w:color w:val="231F20"/>
          <w:sz w:val="24"/>
          <w:szCs w:val="24"/>
        </w:rPr>
        <w:t>20</w:t>
      </w:r>
      <w:r w:rsidR="00784554">
        <w:rPr>
          <w:rFonts w:ascii="Times New Roman"/>
          <w:color w:val="231F20"/>
          <w:sz w:val="24"/>
          <w:szCs w:val="24"/>
        </w:rPr>
        <w:t>20</w:t>
      </w:r>
      <w:r w:rsidRPr="002E4B08">
        <w:rPr>
          <w:rFonts w:ascii="Times New Roman"/>
          <w:color w:val="231F20"/>
          <w:sz w:val="24"/>
          <w:szCs w:val="24"/>
        </w:rPr>
        <w:t>)</w:t>
      </w:r>
    </w:p>
    <w:p w:rsidR="00563458" w:rsidRDefault="00563458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Best Lawyers in America </w:t>
      </w:r>
      <w:r w:rsidRPr="002E4B08">
        <w:rPr>
          <w:rFonts w:ascii="Times New Roman"/>
          <w:color w:val="231F20"/>
          <w:sz w:val="24"/>
          <w:szCs w:val="24"/>
        </w:rPr>
        <w:t>–</w:t>
      </w:r>
      <w:r w:rsidRPr="002E4B08">
        <w:rPr>
          <w:rFonts w:ascii="Times New Roman"/>
          <w:color w:val="231F20"/>
          <w:sz w:val="24"/>
          <w:szCs w:val="24"/>
        </w:rPr>
        <w:t xml:space="preserve"> Energy Law (201</w:t>
      </w:r>
      <w:r w:rsidR="008E35B3">
        <w:rPr>
          <w:rFonts w:ascii="Times New Roman"/>
          <w:color w:val="231F20"/>
          <w:sz w:val="24"/>
          <w:szCs w:val="24"/>
        </w:rPr>
        <w:t>3</w:t>
      </w:r>
      <w:r w:rsidRPr="002E4B08">
        <w:rPr>
          <w:rFonts w:ascii="Times New Roman"/>
          <w:color w:val="231F20"/>
          <w:sz w:val="24"/>
          <w:szCs w:val="24"/>
        </w:rPr>
        <w:t xml:space="preserve"> - present)</w:t>
      </w:r>
    </w:p>
    <w:p w:rsidR="002E4B08" w:rsidRPr="002E4B08" w:rsidRDefault="002E4B08" w:rsidP="002E4B08">
      <w:pPr>
        <w:pStyle w:val="ListParagraph"/>
        <w:tabs>
          <w:tab w:val="left" w:pos="840"/>
        </w:tabs>
        <w:spacing w:before="12"/>
        <w:ind w:left="360"/>
        <w:rPr>
          <w:rFonts w:ascii="Times New Roman"/>
          <w:color w:val="231F20"/>
          <w:sz w:val="24"/>
          <w:szCs w:val="24"/>
        </w:rPr>
      </w:pPr>
    </w:p>
    <w:p w:rsidR="007713C0" w:rsidRPr="002E4B08" w:rsidRDefault="00E746D3" w:rsidP="002E4B08">
      <w:pPr>
        <w:pStyle w:val="BodyText"/>
        <w:spacing w:before="0"/>
        <w:ind w:left="0" w:firstLine="0"/>
        <w:jc w:val="both"/>
      </w:pPr>
      <w:r w:rsidRPr="008E10C5">
        <w:rPr>
          <w:color w:val="231F20"/>
          <w:u w:val="single"/>
        </w:rPr>
        <w:t>BIOGRAPHY</w:t>
      </w:r>
      <w:r w:rsidRPr="008E10C5">
        <w:rPr>
          <w:color w:val="231F20"/>
        </w:rPr>
        <w:t>:</w:t>
      </w:r>
      <w:r w:rsidRPr="00324766">
        <w:rPr>
          <w:b/>
          <w:color w:val="231F20"/>
        </w:rPr>
        <w:t xml:space="preserve"> </w:t>
      </w:r>
      <w:r w:rsidRPr="002E4B08">
        <w:rPr>
          <w:color w:val="231F20"/>
        </w:rPr>
        <w:t xml:space="preserve"> </w:t>
      </w:r>
      <w:r w:rsidR="00455EE6" w:rsidRPr="002E4B08">
        <w:rPr>
          <w:color w:val="231F20"/>
        </w:rPr>
        <w:t xml:space="preserve">For over </w:t>
      </w:r>
      <w:r w:rsidR="002B493F">
        <w:rPr>
          <w:color w:val="231F20"/>
        </w:rPr>
        <w:t>3</w:t>
      </w:r>
      <w:r w:rsidR="00B4093E">
        <w:rPr>
          <w:color w:val="231F20"/>
        </w:rPr>
        <w:t>5</w:t>
      </w:r>
      <w:r w:rsidR="00455EE6" w:rsidRPr="002E4B08">
        <w:rPr>
          <w:color w:val="231F20"/>
        </w:rPr>
        <w:t xml:space="preserve"> years, John Lamberski has advised electric utility companies in a wide variety of</w:t>
      </w:r>
      <w:r w:rsidR="00455EE6" w:rsidRPr="002E4B08">
        <w:rPr>
          <w:color w:val="231F20"/>
          <w:spacing w:val="-2"/>
        </w:rPr>
        <w:t xml:space="preserve"> </w:t>
      </w:r>
      <w:r w:rsidR="00455EE6" w:rsidRPr="002E4B08">
        <w:rPr>
          <w:color w:val="231F20"/>
        </w:rPr>
        <w:t>complex transactional matters. His expertise centers on the generation of electric energy from facilities of all</w:t>
      </w:r>
      <w:r w:rsidR="00455EE6" w:rsidRPr="002E4B08">
        <w:rPr>
          <w:color w:val="231F20"/>
          <w:spacing w:val="-7"/>
        </w:rPr>
        <w:t xml:space="preserve"> </w:t>
      </w:r>
      <w:r w:rsidR="00455EE6" w:rsidRPr="002E4B08">
        <w:rPr>
          <w:color w:val="231F20"/>
        </w:rPr>
        <w:t>fuel</w:t>
      </w:r>
      <w:r w:rsidR="00455EE6" w:rsidRPr="002E4B08">
        <w:rPr>
          <w:color w:val="231F20"/>
          <w:w w:val="99"/>
        </w:rPr>
        <w:t xml:space="preserve"> </w:t>
      </w:r>
      <w:r w:rsidR="00455EE6" w:rsidRPr="002E4B08">
        <w:rPr>
          <w:color w:val="231F20"/>
        </w:rPr>
        <w:t xml:space="preserve">sources, including </w:t>
      </w:r>
      <w:r w:rsidR="001743CE">
        <w:rPr>
          <w:color w:val="231F20"/>
        </w:rPr>
        <w:t xml:space="preserve">wind, solar, biomass, </w:t>
      </w:r>
      <w:r w:rsidR="00455EE6" w:rsidRPr="002E4B08">
        <w:rPr>
          <w:color w:val="231F20"/>
        </w:rPr>
        <w:t>natural gas, coal and nuclear. The breadth</w:t>
      </w:r>
      <w:r w:rsidR="00455EE6" w:rsidRPr="002E4B08">
        <w:rPr>
          <w:color w:val="231F20"/>
          <w:spacing w:val="-16"/>
        </w:rPr>
        <w:t xml:space="preserve"> </w:t>
      </w:r>
      <w:r w:rsidR="00455EE6" w:rsidRPr="002E4B08">
        <w:rPr>
          <w:color w:val="231F20"/>
        </w:rPr>
        <w:t xml:space="preserve">of </w:t>
      </w:r>
      <w:r w:rsidR="00455EE6" w:rsidRPr="002E4B08">
        <w:rPr>
          <w:color w:val="231F20"/>
          <w:spacing w:val="-3"/>
        </w:rPr>
        <w:t xml:space="preserve">John’s </w:t>
      </w:r>
      <w:r w:rsidR="00455EE6" w:rsidRPr="002E4B08">
        <w:rPr>
          <w:color w:val="231F20"/>
        </w:rPr>
        <w:t xml:space="preserve">transactional expertise includes </w:t>
      </w:r>
      <w:r w:rsidR="001743CE">
        <w:rPr>
          <w:color w:val="231F20"/>
        </w:rPr>
        <w:t xml:space="preserve">M&amp;A of power facilities (including in early-phase development and post-COD), </w:t>
      </w:r>
      <w:r w:rsidR="00455EE6" w:rsidRPr="002E4B08">
        <w:rPr>
          <w:color w:val="231F20"/>
        </w:rPr>
        <w:t xml:space="preserve">the engineering, procurement and construction </w:t>
      </w:r>
      <w:r w:rsidR="008E10C5">
        <w:rPr>
          <w:color w:val="231F20"/>
        </w:rPr>
        <w:t xml:space="preserve">(EPC) </w:t>
      </w:r>
      <w:r w:rsidR="00455EE6" w:rsidRPr="002E4B08">
        <w:rPr>
          <w:color w:val="231F20"/>
        </w:rPr>
        <w:t>of</w:t>
      </w:r>
      <w:r w:rsidR="00455EE6" w:rsidRPr="002E4B08">
        <w:rPr>
          <w:color w:val="231F20"/>
          <w:spacing w:val="4"/>
        </w:rPr>
        <w:t xml:space="preserve"> </w:t>
      </w:r>
      <w:r w:rsidR="00455EE6" w:rsidRPr="002E4B08">
        <w:rPr>
          <w:color w:val="231F20"/>
        </w:rPr>
        <w:t>generating facilities, the purchase and sale of capacity, energy</w:t>
      </w:r>
      <w:r w:rsidR="00CC5689">
        <w:rPr>
          <w:color w:val="231F20"/>
        </w:rPr>
        <w:t>, renewable energy credits</w:t>
      </w:r>
      <w:r w:rsidR="00455EE6" w:rsidRPr="002E4B08">
        <w:rPr>
          <w:color w:val="231F20"/>
          <w:spacing w:val="-14"/>
        </w:rPr>
        <w:t xml:space="preserve"> </w:t>
      </w:r>
      <w:r w:rsidR="00455EE6" w:rsidRPr="002E4B08">
        <w:rPr>
          <w:color w:val="231F20"/>
        </w:rPr>
        <w:t>and ancillary services</w:t>
      </w:r>
      <w:r w:rsidR="00CC5689">
        <w:rPr>
          <w:color w:val="231F20"/>
        </w:rPr>
        <w:t xml:space="preserve"> through power purchase agreements (PPAs)</w:t>
      </w:r>
      <w:r w:rsidR="00455EE6" w:rsidRPr="002E4B08">
        <w:rPr>
          <w:color w:val="231F20"/>
        </w:rPr>
        <w:t>, the development and implementation of requests for proposals for each of</w:t>
      </w:r>
      <w:r w:rsidR="00455EE6" w:rsidRPr="002E4B08">
        <w:rPr>
          <w:color w:val="231F20"/>
          <w:spacing w:val="-1"/>
        </w:rPr>
        <w:t xml:space="preserve"> </w:t>
      </w:r>
      <w:r w:rsidR="00455EE6" w:rsidRPr="002E4B08">
        <w:rPr>
          <w:color w:val="231F20"/>
        </w:rPr>
        <w:t>the</w:t>
      </w:r>
      <w:r w:rsidR="00455EE6" w:rsidRPr="002E4B08">
        <w:rPr>
          <w:color w:val="231F20"/>
          <w:w w:val="99"/>
        </w:rPr>
        <w:t xml:space="preserve"> </w:t>
      </w:r>
      <w:r w:rsidR="00455EE6" w:rsidRPr="002E4B08">
        <w:rPr>
          <w:color w:val="231F20"/>
        </w:rPr>
        <w:t>foregoing, operation and maintenance agreements, co-ownership arrangements, long term</w:t>
      </w:r>
      <w:r w:rsidR="00455EE6" w:rsidRPr="002E4B08">
        <w:rPr>
          <w:color w:val="231F20"/>
          <w:spacing w:val="-1"/>
        </w:rPr>
        <w:t xml:space="preserve"> </w:t>
      </w:r>
      <w:r w:rsidR="00455EE6" w:rsidRPr="002E4B08">
        <w:rPr>
          <w:color w:val="231F20"/>
        </w:rPr>
        <w:t>service</w:t>
      </w:r>
      <w:r w:rsidR="00455EE6" w:rsidRPr="002E4B08">
        <w:rPr>
          <w:color w:val="231F20"/>
          <w:w w:val="99"/>
        </w:rPr>
        <w:t xml:space="preserve"> </w:t>
      </w:r>
      <w:r w:rsidR="00455EE6" w:rsidRPr="002E4B08">
        <w:rPr>
          <w:color w:val="231F20"/>
        </w:rPr>
        <w:t xml:space="preserve">agreements and other transactions. </w:t>
      </w:r>
    </w:p>
    <w:p w:rsidR="007713C0" w:rsidRDefault="007713C0" w:rsidP="002E4B0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8C3" w:rsidRPr="008E10C5" w:rsidRDefault="00EE28C3" w:rsidP="00EE28C3">
      <w:pPr>
        <w:pStyle w:val="Heading1"/>
        <w:ind w:left="0"/>
        <w:rPr>
          <w:b w:val="0"/>
          <w:color w:val="231F20"/>
        </w:rPr>
      </w:pPr>
      <w:r w:rsidRPr="008E10C5">
        <w:rPr>
          <w:b w:val="0"/>
          <w:color w:val="231F20"/>
          <w:spacing w:val="-3"/>
          <w:u w:val="single"/>
        </w:rPr>
        <w:t>REPRESENTATIVE</w:t>
      </w:r>
      <w:r w:rsidRPr="008E10C5">
        <w:rPr>
          <w:b w:val="0"/>
          <w:color w:val="231F20"/>
          <w:spacing w:val="1"/>
          <w:u w:val="single"/>
        </w:rPr>
        <w:t xml:space="preserve"> </w:t>
      </w:r>
      <w:r w:rsidRPr="008E10C5">
        <w:rPr>
          <w:b w:val="0"/>
          <w:color w:val="231F20"/>
          <w:u w:val="single"/>
        </w:rPr>
        <w:t>ENGAGEMENTS –</w:t>
      </w:r>
      <w:r w:rsidR="00906689" w:rsidRPr="008E10C5">
        <w:rPr>
          <w:b w:val="0"/>
          <w:color w:val="231F20"/>
          <w:u w:val="single"/>
        </w:rPr>
        <w:t xml:space="preserve"> </w:t>
      </w:r>
      <w:r w:rsidRPr="008E10C5">
        <w:rPr>
          <w:b w:val="0"/>
          <w:color w:val="231F20"/>
          <w:u w:val="single"/>
        </w:rPr>
        <w:t xml:space="preserve">ACQUISITION OF </w:t>
      </w:r>
      <w:r w:rsidR="00CC5689" w:rsidRPr="008E10C5">
        <w:rPr>
          <w:b w:val="0"/>
          <w:color w:val="231F20"/>
          <w:u w:val="single"/>
        </w:rPr>
        <w:t>RENEWABLE ENERGY PROJECTS</w:t>
      </w:r>
      <w:r w:rsidRPr="008E10C5">
        <w:rPr>
          <w:b w:val="0"/>
          <w:color w:val="231F20"/>
        </w:rPr>
        <w:t xml:space="preserve">:  </w:t>
      </w:r>
    </w:p>
    <w:p w:rsidR="00EE28C3" w:rsidRDefault="00EE28C3" w:rsidP="002E4B08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87C" w:rsidRDefault="006C412D" w:rsidP="00CC5689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Counsel to a leading global energy asset investor in its </w:t>
      </w:r>
      <w:r w:rsidR="00383AE2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acquisition of a 50% ownership interest in an existing </w:t>
      </w:r>
      <w:r w:rsidR="00383AE2">
        <w:rPr>
          <w:rFonts w:ascii="Times New Roman" w:eastAsia="Times New Roman" w:hAnsi="Times New Roman" w:cs="Times New Roman"/>
          <w:sz w:val="24"/>
          <w:szCs w:val="24"/>
        </w:rPr>
        <w:t xml:space="preserve">264 MW wind </w:t>
      </w:r>
      <w:r w:rsidR="00383AE2" w:rsidRPr="00CC5689">
        <w:rPr>
          <w:rFonts w:ascii="Times New Roman" w:eastAsia="Times New Roman" w:hAnsi="Times New Roman" w:cs="Times New Roman"/>
          <w:sz w:val="24"/>
          <w:szCs w:val="24"/>
        </w:rPr>
        <w:t>energy facility</w:t>
      </w:r>
      <w:r w:rsidR="00383AE2">
        <w:rPr>
          <w:rFonts w:ascii="Times New Roman" w:eastAsia="Times New Roman" w:hAnsi="Times New Roman" w:cs="Times New Roman"/>
          <w:sz w:val="24"/>
          <w:szCs w:val="24"/>
        </w:rPr>
        <w:t xml:space="preserve"> in West Virginia</w:t>
      </w:r>
      <w:r w:rsidR="00D733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334E" w:rsidRPr="00CC5689">
        <w:rPr>
          <w:rFonts w:ascii="Times New Roman" w:eastAsia="Times New Roman" w:hAnsi="Times New Roman" w:cs="Times New Roman"/>
          <w:sz w:val="24"/>
          <w:szCs w:val="24"/>
        </w:rPr>
        <w:t>including negotiat</w:t>
      </w:r>
      <w:r w:rsidR="00D7334E">
        <w:rPr>
          <w:rFonts w:ascii="Times New Roman" w:eastAsia="Times New Roman" w:hAnsi="Times New Roman" w:cs="Times New Roman"/>
          <w:sz w:val="24"/>
          <w:szCs w:val="24"/>
        </w:rPr>
        <w:t>ion of</w:t>
      </w:r>
      <w:r w:rsidR="00D7334E" w:rsidRPr="00CC5689">
        <w:rPr>
          <w:rFonts w:ascii="Times New Roman" w:eastAsia="Times New Roman" w:hAnsi="Times New Roman" w:cs="Times New Roman"/>
          <w:sz w:val="24"/>
          <w:szCs w:val="24"/>
        </w:rPr>
        <w:t xml:space="preserve"> the membership interest purchase and sale agreement (MIPSA)</w:t>
      </w:r>
      <w:r w:rsidR="00383A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34E">
        <w:rPr>
          <w:rFonts w:ascii="Times New Roman" w:eastAsia="Times New Roman" w:hAnsi="Times New Roman" w:cs="Times New Roman"/>
          <w:sz w:val="24"/>
          <w:szCs w:val="24"/>
        </w:rPr>
        <w:t xml:space="preserve">  That transaction lead to a second transaction whereby the client acquired the remaining 50% interest in the project from a s</w:t>
      </w:r>
      <w:r w:rsidR="0060687C">
        <w:rPr>
          <w:rFonts w:ascii="Times New Roman" w:eastAsia="Times New Roman" w:hAnsi="Times New Roman" w:cs="Times New Roman"/>
          <w:sz w:val="24"/>
          <w:szCs w:val="24"/>
        </w:rPr>
        <w:t>eparate entity, which expanded John</w:t>
      </w:r>
      <w:r w:rsidR="00D7334E">
        <w:rPr>
          <w:rFonts w:ascii="Times New Roman" w:eastAsia="Times New Roman" w:hAnsi="Times New Roman" w:cs="Times New Roman"/>
          <w:sz w:val="24"/>
          <w:szCs w:val="24"/>
        </w:rPr>
        <w:t>’s representation to the negotiation of a second MIPSA.</w:t>
      </w:r>
    </w:p>
    <w:p w:rsidR="006C412D" w:rsidRDefault="00D7334E" w:rsidP="0060687C">
      <w:pPr>
        <w:pStyle w:val="ListParagraph"/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8C3" w:rsidRDefault="005B6A90" w:rsidP="00CC5689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="00CC5689" w:rsidRPr="00CC5689">
        <w:rPr>
          <w:rFonts w:ascii="Times New Roman" w:eastAsia="Times New Roman" w:hAnsi="Times New Roman" w:cs="Times New Roman"/>
          <w:sz w:val="24"/>
          <w:szCs w:val="24"/>
        </w:rPr>
        <w:t xml:space="preserve">ounsel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689" w:rsidRPr="00CC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independent power provider (</w:t>
      </w:r>
      <w:r w:rsidR="00CC5689" w:rsidRPr="00CC5689">
        <w:rPr>
          <w:rFonts w:ascii="Times New Roman" w:eastAsia="Times New Roman" w:hAnsi="Times New Roman" w:cs="Times New Roman"/>
          <w:sz w:val="24"/>
          <w:szCs w:val="24"/>
        </w:rPr>
        <w:t>IPP</w:t>
      </w:r>
      <w:r>
        <w:rPr>
          <w:rFonts w:ascii="Times New Roman" w:eastAsia="Times New Roman" w:hAnsi="Times New Roman" w:cs="Times New Roman"/>
          <w:sz w:val="24"/>
          <w:szCs w:val="24"/>
        </w:rPr>
        <w:t>) in it</w:t>
      </w:r>
      <w:r w:rsidR="00CC5689" w:rsidRPr="00CC568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>acquisition of a project company that owns a 300 MW wind energy facility in Oklahoma</w:t>
      </w:r>
      <w:r w:rsidR="00CC5689" w:rsidRPr="00CC5689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 xml:space="preserve"> negotiat</w:t>
      </w:r>
      <w:r w:rsidR="00CC5689">
        <w:rPr>
          <w:rFonts w:ascii="Times New Roman" w:eastAsia="Times New Roman" w:hAnsi="Times New Roman" w:cs="Times New Roman"/>
          <w:sz w:val="24"/>
          <w:szCs w:val="24"/>
        </w:rPr>
        <w:t>ion of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 xml:space="preserve"> the MIPSA </w:t>
      </w:r>
      <w:r w:rsidR="00DD14B7" w:rsidRPr="005B6A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14B7" w:rsidRPr="005B6A90">
        <w:rPr>
          <w:rFonts w:ascii="Times New Roman" w:eastAsia="Times New Roman" w:hAnsi="Times New Roman" w:cs="Times New Roman"/>
          <w:sz w:val="24"/>
          <w:szCs w:val="24"/>
        </w:rPr>
        <w:t xml:space="preserve">ue diligence 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="00DD14B7" w:rsidRPr="005B6A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>f</w:t>
      </w:r>
      <w:r w:rsidR="00DD14B7" w:rsidRPr="005B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 xml:space="preserve">two 20-year PPAs between the project company and the utility off-takers.  </w:t>
      </w:r>
      <w:r w:rsidR="00CC568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 xml:space="preserve"> was a unique and complex transaction because it required the take-out of project financing at COD and significant negotiations with the lenders were required over the terms and conditions of the MIPSA </w:t>
      </w:r>
      <w:r w:rsidR="00CC5689">
        <w:rPr>
          <w:rFonts w:ascii="Times New Roman" w:eastAsia="Times New Roman" w:hAnsi="Times New Roman" w:cs="Times New Roman"/>
          <w:sz w:val="24"/>
          <w:szCs w:val="24"/>
        </w:rPr>
        <w:t>in order to</w:t>
      </w:r>
      <w:r w:rsidR="00EE28C3" w:rsidRPr="00CC5689">
        <w:rPr>
          <w:rFonts w:ascii="Times New Roman" w:eastAsia="Times New Roman" w:hAnsi="Times New Roman" w:cs="Times New Roman"/>
          <w:sz w:val="24"/>
          <w:szCs w:val="24"/>
        </w:rPr>
        <w:t xml:space="preserve"> minimize the lenders’ exposure to construction risks.</w:t>
      </w:r>
    </w:p>
    <w:p w:rsidR="008E10C5" w:rsidRDefault="008E10C5" w:rsidP="008E10C5">
      <w:pPr>
        <w:pStyle w:val="ListParagraph"/>
        <w:spacing w:before="1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8C3" w:rsidRDefault="005B6A90" w:rsidP="008E10C5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4B7">
        <w:rPr>
          <w:rFonts w:ascii="Times New Roman" w:eastAsia="Times New Roman" w:hAnsi="Times New Roman" w:cs="Times New Roman"/>
          <w:sz w:val="24"/>
          <w:szCs w:val="24"/>
        </w:rPr>
        <w:t>Counsel to IPP in its acquisition of a project company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that owns </w:t>
      </w:r>
      <w:r w:rsidR="00DD14B7" w:rsidRPr="00DD14B7">
        <w:rPr>
          <w:rFonts w:ascii="Times New Roman" w:eastAsia="Times New Roman" w:hAnsi="Times New Roman" w:cs="Times New Roman"/>
          <w:sz w:val="24"/>
          <w:szCs w:val="24"/>
        </w:rPr>
        <w:t>a 150 MW wind energy facility in Oklahoma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>negotiat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>ion of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the MIPSA </w:t>
      </w:r>
      <w:r w:rsidR="00906689" w:rsidRPr="00DD14B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D14B7" w:rsidRPr="00DD14B7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ue diligence </w:t>
      </w:r>
      <w:r w:rsidR="00DD14B7" w:rsidRPr="00DD14B7"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14B7" w:rsidRPr="00DD14B7">
        <w:rPr>
          <w:rFonts w:ascii="Times New Roman" w:eastAsia="Times New Roman" w:hAnsi="Times New Roman" w:cs="Times New Roman"/>
          <w:sz w:val="24"/>
          <w:szCs w:val="24"/>
        </w:rPr>
        <w:t>f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three 20-year PPAs between the project company and the utility off-takers.  This transaction was complex because it also involved the possibility that a third party would own the sister wind farm (described 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 xml:space="preserve">directly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below) which is electrically connected to and shares common facilities with, this project.  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>necess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>itated the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negotiat</w:t>
      </w:r>
      <w:r w:rsidR="00DD14B7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a set of common facility ownership and operating agreements.</w:t>
      </w:r>
    </w:p>
    <w:p w:rsidR="00DD14B7" w:rsidRDefault="00DD14B7" w:rsidP="008E10C5">
      <w:pPr>
        <w:pStyle w:val="ListParagraph"/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8C3" w:rsidRDefault="00DD14B7" w:rsidP="008E10C5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Counsel to </w:t>
      </w:r>
      <w:r w:rsidR="00C71032" w:rsidRPr="00DD14B7">
        <w:rPr>
          <w:rFonts w:ascii="Times New Roman" w:eastAsia="Times New Roman" w:hAnsi="Times New Roman" w:cs="Times New Roman"/>
          <w:sz w:val="24"/>
          <w:szCs w:val="24"/>
        </w:rPr>
        <w:t xml:space="preserve">IPP in its 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>acquisition of a project company that owns a 150 MW wind energy facility in Oklahoma, including negotiation of the MIPSA and due diligence analysis of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032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a 20-year PPA between the project company and a utility off-taker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a virtual (synthetic, fixed for floating) PPA between the project company and a corporate purchaser.  The closing of this acquisition occurred upon notice to proceed of construction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purchaser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assuming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construction risk,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was mitigated through 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>a complex Construction Management Agreement whereby the seller/developer guarantee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28C3" w:rsidRPr="00DD14B7">
        <w:rPr>
          <w:rFonts w:ascii="Times New Roman" w:eastAsia="Times New Roman" w:hAnsi="Times New Roman" w:cs="Times New Roman"/>
          <w:sz w:val="24"/>
          <w:szCs w:val="24"/>
        </w:rPr>
        <w:t xml:space="preserve"> certain levels of results (and thus bearing some construction risk), until the project achieved COD.</w:t>
      </w:r>
    </w:p>
    <w:p w:rsidR="008E10C5" w:rsidRPr="008E10C5" w:rsidRDefault="008E10C5" w:rsidP="008E10C5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05599" w:rsidRDefault="00305599" w:rsidP="008E10C5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ounsel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 IPP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it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s acquisition of a project company that owns a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 MW wind energy facility in </w:t>
      </w:r>
      <w:r>
        <w:rPr>
          <w:rFonts w:ascii="Times New Roman" w:eastAsia="Times New Roman" w:hAnsi="Times New Roman" w:cs="Times New Roman"/>
          <w:sz w:val="24"/>
          <w:szCs w:val="24"/>
        </w:rPr>
        <w:t>Maine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>, including negotiat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 the MIPSA </w:t>
      </w:r>
      <w:r w:rsidRPr="005B6A9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B6A90">
        <w:rPr>
          <w:rFonts w:ascii="Times New Roman" w:eastAsia="Times New Roman" w:hAnsi="Times New Roman" w:cs="Times New Roman"/>
          <w:sz w:val="24"/>
          <w:szCs w:val="24"/>
        </w:rPr>
        <w:t xml:space="preserve">ue diligence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Pr="005B6A9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B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C5689">
        <w:rPr>
          <w:rFonts w:ascii="Times New Roman" w:eastAsia="Times New Roman" w:hAnsi="Times New Roman" w:cs="Times New Roman"/>
          <w:sz w:val="24"/>
          <w:szCs w:val="24"/>
        </w:rPr>
        <w:t>-year PPA between the project company and the utility off-taker</w:t>
      </w:r>
      <w:bookmarkStart w:id="0" w:name="_GoBack"/>
      <w:bookmarkEnd w:id="0"/>
      <w:r w:rsidRPr="00CC56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05599" w:rsidRPr="00305599" w:rsidRDefault="00305599" w:rsidP="0030559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E10C5" w:rsidRDefault="008E10C5" w:rsidP="008E10C5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Counsel to </w:t>
      </w:r>
      <w:r w:rsidR="00C71032" w:rsidRPr="00DD14B7">
        <w:rPr>
          <w:rFonts w:ascii="Times New Roman" w:eastAsia="Times New Roman" w:hAnsi="Times New Roman" w:cs="Times New Roman"/>
          <w:sz w:val="24"/>
          <w:szCs w:val="24"/>
        </w:rPr>
        <w:t xml:space="preserve">IPP in its 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acquisition of 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>two project compan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 xml:space="preserve"> that own a 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combined 1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 xml:space="preserve">00 MW 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 xml:space="preserve">of PV solar energy 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>facilit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Georgia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>including negotiation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 xml:space="preserve">the MIPSA and </w:t>
      </w:r>
      <w:r w:rsidR="00D24B9D" w:rsidRPr="008E10C5">
        <w:rPr>
          <w:rFonts w:ascii="Times New Roman" w:hAnsi="Times New Roman" w:cs="Times New Roman"/>
          <w:sz w:val="24"/>
          <w:szCs w:val="24"/>
        </w:rPr>
        <w:t xml:space="preserve">the </w:t>
      </w:r>
      <w:r w:rsidR="009C1F89" w:rsidRPr="008E10C5">
        <w:rPr>
          <w:rFonts w:ascii="Times New Roman" w:hAnsi="Times New Roman" w:cs="Times New Roman"/>
          <w:sz w:val="24"/>
          <w:szCs w:val="24"/>
        </w:rPr>
        <w:t xml:space="preserve">EPC </w:t>
      </w:r>
      <w:r w:rsidR="00D24B9D" w:rsidRPr="008E10C5">
        <w:rPr>
          <w:rFonts w:ascii="Times New Roman" w:hAnsi="Times New Roman" w:cs="Times New Roman"/>
          <w:sz w:val="24"/>
          <w:szCs w:val="24"/>
        </w:rPr>
        <w:t>agreement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 xml:space="preserve"> to complete the project</w:t>
      </w:r>
      <w:r w:rsidR="00C31B4D" w:rsidRPr="008E10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0C5" w:rsidRPr="008E10C5" w:rsidRDefault="008E10C5" w:rsidP="008E10C5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47EE0" w:rsidRDefault="008E10C5" w:rsidP="008E10C5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Counsel to </w:t>
      </w:r>
      <w:r w:rsidR="00C71032" w:rsidRPr="00DD14B7">
        <w:rPr>
          <w:rFonts w:ascii="Times New Roman" w:eastAsia="Times New Roman" w:hAnsi="Times New Roman" w:cs="Times New Roman"/>
          <w:sz w:val="24"/>
          <w:szCs w:val="24"/>
        </w:rPr>
        <w:t xml:space="preserve">IPP in its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acquisition of a project company that owns 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a 20 MW PV solar energy facilit</w:t>
      </w:r>
      <w:r w:rsidR="00892424" w:rsidRPr="008E10C5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892424" w:rsidRPr="008E10C5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negotiation of 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 xml:space="preserve">the MIPSA </w:t>
      </w:r>
      <w:r w:rsidR="00906689" w:rsidRPr="008E10C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92424" w:rsidRPr="008E10C5">
        <w:rPr>
          <w:rFonts w:ascii="Times New Roman" w:eastAsia="Times New Roman" w:hAnsi="Times New Roman" w:cs="Times New Roman"/>
          <w:sz w:val="24"/>
          <w:szCs w:val="24"/>
        </w:rPr>
        <w:t xml:space="preserve">due diligence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="00892424" w:rsidRPr="008E10C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92424" w:rsidRPr="008E10C5">
        <w:rPr>
          <w:rFonts w:ascii="Times New Roman" w:eastAsia="Times New Roman" w:hAnsi="Times New Roman" w:cs="Times New Roman"/>
          <w:sz w:val="24"/>
          <w:szCs w:val="24"/>
        </w:rPr>
        <w:t xml:space="preserve"> the 20-year PPA between the project company and the utility off-taker</w:t>
      </w:r>
      <w:r w:rsidR="00D24B9D" w:rsidRPr="008E10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EE0" w:rsidRPr="00D47EE0" w:rsidRDefault="00D47EE0" w:rsidP="00D47EE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47EE0" w:rsidRDefault="00D47EE0" w:rsidP="00D47EE0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Counsel to 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IPP in its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acquisition of a project company that owns </w:t>
      </w:r>
      <w:r>
        <w:rPr>
          <w:rFonts w:ascii="Times New Roman" w:eastAsia="Times New Roman" w:hAnsi="Times New Roman" w:cs="Times New Roman"/>
          <w:sz w:val="24"/>
          <w:szCs w:val="24"/>
        </w:rPr>
        <w:t>a 3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0 MW PV solar energy facility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Nevada, including negotiation of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the MIPSA and due diligence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 the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-year PPA between the project company and the utility off-taker. </w:t>
      </w:r>
    </w:p>
    <w:p w:rsidR="00D47EE0" w:rsidRPr="00D47EE0" w:rsidRDefault="00D47EE0" w:rsidP="00D47EE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05599" w:rsidRDefault="00D47EE0" w:rsidP="00D47EE0">
      <w:pPr>
        <w:pStyle w:val="ListParagraph"/>
        <w:numPr>
          <w:ilvl w:val="0"/>
          <w:numId w:val="9"/>
        </w:numPr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Counsel to </w:t>
      </w:r>
      <w:r w:rsidRPr="00DD14B7">
        <w:rPr>
          <w:rFonts w:ascii="Times New Roman" w:eastAsia="Times New Roman" w:hAnsi="Times New Roman" w:cs="Times New Roman"/>
          <w:sz w:val="24"/>
          <w:szCs w:val="24"/>
        </w:rPr>
        <w:t xml:space="preserve">IPP in its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acquisition of a project company that owns a 20 MW PV solar energy facility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Nevada, including negotiation of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the MIPSA and due diligence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 xml:space="preserve"> the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10C5">
        <w:rPr>
          <w:rFonts w:ascii="Times New Roman" w:eastAsia="Times New Roman" w:hAnsi="Times New Roman" w:cs="Times New Roman"/>
          <w:sz w:val="24"/>
          <w:szCs w:val="24"/>
        </w:rPr>
        <w:t>-year PPA between the project company and the utility off-taker.</w:t>
      </w:r>
    </w:p>
    <w:p w:rsidR="00305599" w:rsidRPr="00305599" w:rsidRDefault="00305599" w:rsidP="0030559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05599" w:rsidRDefault="00305599" w:rsidP="00305599">
      <w:pPr>
        <w:pStyle w:val="ListParagraph"/>
        <w:spacing w:before="1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3C0" w:rsidRPr="008E10C5" w:rsidRDefault="00455EE6" w:rsidP="002E4B08">
      <w:pPr>
        <w:pStyle w:val="Heading1"/>
        <w:ind w:left="0"/>
        <w:rPr>
          <w:b w:val="0"/>
          <w:color w:val="231F20"/>
        </w:rPr>
      </w:pPr>
      <w:r w:rsidRPr="008E10C5">
        <w:rPr>
          <w:b w:val="0"/>
          <w:color w:val="231F20"/>
          <w:spacing w:val="-3"/>
          <w:u w:val="single"/>
        </w:rPr>
        <w:t>REPRESENTATIVE</w:t>
      </w:r>
      <w:r w:rsidRPr="008E10C5">
        <w:rPr>
          <w:b w:val="0"/>
          <w:color w:val="231F20"/>
          <w:spacing w:val="1"/>
          <w:u w:val="single"/>
        </w:rPr>
        <w:t xml:space="preserve"> </w:t>
      </w:r>
      <w:r w:rsidR="00E746D3" w:rsidRPr="008E10C5">
        <w:rPr>
          <w:b w:val="0"/>
          <w:color w:val="231F20"/>
          <w:u w:val="single"/>
        </w:rPr>
        <w:t>ENGAGEMENTS</w:t>
      </w:r>
      <w:r w:rsidR="001743CE" w:rsidRPr="008E10C5">
        <w:rPr>
          <w:b w:val="0"/>
          <w:color w:val="231F20"/>
          <w:u w:val="single"/>
        </w:rPr>
        <w:t xml:space="preserve"> – </w:t>
      </w:r>
      <w:r w:rsidR="00EE28C3" w:rsidRPr="008E10C5">
        <w:rPr>
          <w:b w:val="0"/>
          <w:color w:val="231F20"/>
          <w:u w:val="single"/>
        </w:rPr>
        <w:t>SALES/ACQUISITION</w:t>
      </w:r>
      <w:r w:rsidR="00324766" w:rsidRPr="008E10C5">
        <w:rPr>
          <w:b w:val="0"/>
          <w:color w:val="231F20"/>
          <w:u w:val="single"/>
        </w:rPr>
        <w:t>S</w:t>
      </w:r>
      <w:r w:rsidR="00EE28C3" w:rsidRPr="008E10C5">
        <w:rPr>
          <w:b w:val="0"/>
          <w:color w:val="231F20"/>
          <w:u w:val="single"/>
        </w:rPr>
        <w:t xml:space="preserve"> OF </w:t>
      </w:r>
      <w:r w:rsidR="008E10C5">
        <w:rPr>
          <w:b w:val="0"/>
          <w:color w:val="231F20"/>
          <w:u w:val="single"/>
        </w:rPr>
        <w:t>FOSSIL-FIRED POWER PROJECTS</w:t>
      </w:r>
      <w:r w:rsidR="00E746D3" w:rsidRPr="008E10C5">
        <w:rPr>
          <w:b w:val="0"/>
          <w:color w:val="231F20"/>
        </w:rPr>
        <w:t xml:space="preserve">:  </w:t>
      </w:r>
    </w:p>
    <w:p w:rsidR="005F48BD" w:rsidRPr="002E4B08" w:rsidRDefault="005F48BD" w:rsidP="002E4B08">
      <w:pPr>
        <w:pStyle w:val="Heading1"/>
        <w:ind w:left="0"/>
        <w:rPr>
          <w:b w:val="0"/>
          <w:bCs w:val="0"/>
        </w:rPr>
      </w:pPr>
    </w:p>
    <w:p w:rsidR="007142E1" w:rsidRPr="002E4B08" w:rsidRDefault="007142E1" w:rsidP="007142E1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Counsel to Wisconsin Electric Power Company in connection with the sale </w:t>
      </w:r>
      <w:r w:rsidRPr="007142E1">
        <w:rPr>
          <w:rFonts w:ascii="Times New Roman"/>
          <w:color w:val="231F20"/>
          <w:sz w:val="24"/>
          <w:szCs w:val="24"/>
        </w:rPr>
        <w:t>of its minority ownership interest in the Edgewater Unit 5 coal-fired generating plant</w:t>
      </w:r>
      <w:r>
        <w:rPr>
          <w:rFonts w:ascii="Times New Roman"/>
          <w:color w:val="231F20"/>
          <w:sz w:val="24"/>
          <w:szCs w:val="24"/>
        </w:rPr>
        <w:t>,</w:t>
      </w:r>
      <w:r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>including negotiation of the purchase and sale agreement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2E1" w:rsidRPr="007142E1" w:rsidRDefault="007142E1" w:rsidP="007142E1">
      <w:pPr>
        <w:pStyle w:val="ListParagraph"/>
        <w:tabs>
          <w:tab w:val="left" w:pos="841"/>
        </w:tabs>
        <w:spacing w:before="12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58" w:rsidRDefault="00563458" w:rsidP="002E4B08">
      <w:pPr>
        <w:pStyle w:val="ListParagraph"/>
        <w:numPr>
          <w:ilvl w:val="0"/>
          <w:numId w:val="8"/>
        </w:numPr>
        <w:tabs>
          <w:tab w:val="left" w:pos="841"/>
        </w:tabs>
        <w:spacing w:before="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Counsel </w:t>
      </w: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 large investor-owned utility company in connection with the acquisition of </w:t>
      </w:r>
      <w:r w:rsid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project companies that respectively own (1) </w:t>
      </w: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operating </w:t>
      </w:r>
      <w:r w:rsidR="002E4B08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375 MW </w:t>
      </w:r>
      <w:r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natural gas-fired </w:t>
      </w:r>
      <w:r w:rsidR="005C0EFA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generating </w:t>
      </w:r>
      <w:r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facility in MISO, </w:t>
      </w:r>
      <w:r w:rsidR="005C0EFA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5C0EFA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adjacent </w:t>
      </w:r>
      <w:r w:rsidR="002E4B08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345 MW </w:t>
      </w:r>
      <w:r w:rsidR="005C0EFA" w:rsidRPr="007142E1">
        <w:rPr>
          <w:rFonts w:ascii="Times New Roman" w:hAnsi="Times New Roman" w:cs="Times New Roman"/>
          <w:color w:val="000000" w:themeColor="text1"/>
          <w:sz w:val="24"/>
          <w:szCs w:val="24"/>
        </w:rPr>
        <w:t>natural gas-fired project</w:t>
      </w:r>
      <w:r w:rsidR="005C0EFA"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construction, </w:t>
      </w: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>including negotiation of the purchase and sale agreement and due diligence analysis of t</w:t>
      </w:r>
      <w:r w:rsidR="005C0EFA"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>wo</w:t>
      </w: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C5">
        <w:rPr>
          <w:rFonts w:ascii="Times New Roman" w:hAnsi="Times New Roman" w:cs="Times New Roman"/>
          <w:color w:val="000000" w:themeColor="text1"/>
          <w:sz w:val="24"/>
          <w:szCs w:val="24"/>
        </w:rPr>
        <w:t>PPAs between the project companies and the utility off-taker</w:t>
      </w:r>
      <w:r w:rsidR="008D52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3458" w:rsidRPr="002E4B08" w:rsidRDefault="00563458" w:rsidP="002E4B08">
      <w:pPr>
        <w:pStyle w:val="ListParagraph"/>
        <w:tabs>
          <w:tab w:val="left" w:pos="84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F48BD" w:rsidRPr="002E4B08" w:rsidRDefault="00455EE6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Counsel to Wisconsin Electric Power Company regarding the </w:t>
      </w:r>
      <w:r w:rsidRPr="007142E1">
        <w:rPr>
          <w:rFonts w:ascii="Times New Roman"/>
          <w:color w:val="231F20"/>
          <w:sz w:val="24"/>
          <w:szCs w:val="24"/>
        </w:rPr>
        <w:t>sale of the Point Beach Nuclear Power Plant</w:t>
      </w:r>
      <w:r w:rsidRPr="00324766">
        <w:rPr>
          <w:rFonts w:ascii="Times New Roman"/>
          <w:b/>
          <w:i/>
          <w:color w:val="231F20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and the negotiation of a long term PPA with the new plant owner, including the development of a co-ownership structure as an alternative to a sale of a 100% ownership interest</w:t>
      </w:r>
      <w:r w:rsidR="00324766">
        <w:rPr>
          <w:rFonts w:ascii="Times New Roman"/>
          <w:color w:val="231F20"/>
          <w:sz w:val="24"/>
          <w:szCs w:val="24"/>
        </w:rPr>
        <w:t>.</w:t>
      </w:r>
    </w:p>
    <w:p w:rsidR="005F48BD" w:rsidRDefault="005F48BD" w:rsidP="002E4B08">
      <w:pPr>
        <w:pStyle w:val="ListParagraph"/>
        <w:tabs>
          <w:tab w:val="left" w:pos="840"/>
        </w:tabs>
        <w:spacing w:before="12"/>
        <w:ind w:left="360"/>
        <w:jc w:val="both"/>
        <w:rPr>
          <w:rFonts w:ascii="Times New Roman"/>
          <w:color w:val="231F20"/>
          <w:sz w:val="24"/>
          <w:szCs w:val="24"/>
        </w:rPr>
      </w:pPr>
    </w:p>
    <w:p w:rsidR="0032532F" w:rsidRPr="00B76070" w:rsidRDefault="0032532F" w:rsidP="0032532F">
      <w:pPr>
        <w:pStyle w:val="ListParagraph"/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r>
        <w:rPr>
          <w:rFonts w:ascii="Times New Roman"/>
          <w:color w:val="231F20"/>
          <w:sz w:val="24"/>
          <w:szCs w:val="24"/>
          <w:u w:val="single"/>
        </w:rPr>
        <w:t>POWER PURCHASE AGREEMENT</w:t>
      </w:r>
      <w:r w:rsidR="00790130">
        <w:rPr>
          <w:rFonts w:ascii="Times New Roman"/>
          <w:color w:val="231F20"/>
          <w:sz w:val="24"/>
          <w:szCs w:val="24"/>
          <w:u w:val="single"/>
        </w:rPr>
        <w:t xml:space="preserve"> EXPERIENCE</w:t>
      </w:r>
      <w:r w:rsidR="00B76070">
        <w:rPr>
          <w:rFonts w:ascii="Times New Roman"/>
          <w:color w:val="231F20"/>
          <w:sz w:val="24"/>
          <w:szCs w:val="24"/>
        </w:rPr>
        <w:t>:</w:t>
      </w:r>
    </w:p>
    <w:p w:rsidR="0032532F" w:rsidRDefault="0032532F" w:rsidP="0032532F">
      <w:pPr>
        <w:pStyle w:val="ListParagraph"/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</w:p>
    <w:p w:rsidR="0032532F" w:rsidRPr="0032532F" w:rsidRDefault="002F5AE8" w:rsidP="002111BE">
      <w:pPr>
        <w:pStyle w:val="ListParagraph"/>
        <w:numPr>
          <w:ilvl w:val="0"/>
          <w:numId w:val="11"/>
        </w:numPr>
        <w:tabs>
          <w:tab w:val="left" w:pos="840"/>
        </w:tabs>
        <w:spacing w:before="12"/>
        <w:ind w:left="360"/>
        <w:jc w:val="both"/>
        <w:rPr>
          <w:rFonts w:ascii="Times New Roman"/>
          <w:color w:val="231F20"/>
          <w:sz w:val="24"/>
          <w:szCs w:val="24"/>
        </w:rPr>
      </w:pPr>
      <w:r>
        <w:rPr>
          <w:rFonts w:ascii="Times New Roman"/>
          <w:color w:val="231F20"/>
          <w:sz w:val="24"/>
          <w:szCs w:val="24"/>
        </w:rPr>
        <w:t xml:space="preserve">As described above, John has extensive experience assisting clients with </w:t>
      </w:r>
      <w:r w:rsidR="0032532F">
        <w:rPr>
          <w:rFonts w:ascii="Times New Roman"/>
          <w:color w:val="231F20"/>
          <w:sz w:val="24"/>
          <w:szCs w:val="24"/>
        </w:rPr>
        <w:t>the due diligence analysis of PPAs</w:t>
      </w:r>
      <w:r>
        <w:rPr>
          <w:rFonts w:ascii="Times New Roman"/>
          <w:color w:val="231F20"/>
          <w:sz w:val="24"/>
          <w:szCs w:val="24"/>
        </w:rPr>
        <w:t xml:space="preserve"> </w:t>
      </w:r>
      <w:r w:rsidR="0060687C">
        <w:rPr>
          <w:rFonts w:ascii="Times New Roman"/>
          <w:color w:val="231F20"/>
          <w:sz w:val="24"/>
          <w:szCs w:val="24"/>
        </w:rPr>
        <w:t xml:space="preserve">(including virtual PPAs) </w:t>
      </w:r>
      <w:r>
        <w:rPr>
          <w:rFonts w:ascii="Times New Roman"/>
          <w:color w:val="231F20"/>
          <w:sz w:val="24"/>
          <w:szCs w:val="24"/>
        </w:rPr>
        <w:t xml:space="preserve">for both renewable energy projects and fossil-fired projects, including with respect to numerous projects that his clients evaluated but did </w:t>
      </w:r>
      <w:r w:rsidR="00C71032">
        <w:rPr>
          <w:rFonts w:ascii="Times New Roman"/>
          <w:color w:val="231F20"/>
          <w:sz w:val="24"/>
          <w:szCs w:val="24"/>
        </w:rPr>
        <w:t xml:space="preserve">not </w:t>
      </w:r>
      <w:r>
        <w:rPr>
          <w:rFonts w:ascii="Times New Roman"/>
          <w:color w:val="231F20"/>
          <w:sz w:val="24"/>
          <w:szCs w:val="24"/>
        </w:rPr>
        <w:t xml:space="preserve">acquire for various reasons.  In addition, </w:t>
      </w:r>
      <w:r w:rsidR="0032532F">
        <w:rPr>
          <w:rFonts w:ascii="Times New Roman"/>
          <w:color w:val="231F20"/>
          <w:sz w:val="24"/>
          <w:szCs w:val="24"/>
        </w:rPr>
        <w:t xml:space="preserve">John has extensive experience </w:t>
      </w:r>
      <w:r w:rsidR="002111BE">
        <w:rPr>
          <w:rFonts w:ascii="Times New Roman"/>
          <w:color w:val="231F20"/>
          <w:sz w:val="24"/>
          <w:szCs w:val="24"/>
        </w:rPr>
        <w:t xml:space="preserve">structuring, drafting and </w:t>
      </w:r>
      <w:r w:rsidR="0032532F">
        <w:rPr>
          <w:rFonts w:ascii="Times New Roman"/>
          <w:color w:val="231F20"/>
          <w:sz w:val="24"/>
          <w:szCs w:val="24"/>
        </w:rPr>
        <w:t xml:space="preserve">negotiating PPAs of all varieties for utility and IPP clients, including </w:t>
      </w:r>
      <w:r w:rsidR="002111BE" w:rsidRPr="002111BE">
        <w:rPr>
          <w:rFonts w:ascii="Times New Roman" w:hAnsi="Times New Roman" w:cs="Times New Roman"/>
          <w:sz w:val="24"/>
          <w:szCs w:val="24"/>
        </w:rPr>
        <w:t>tolling arrangements, non-tolling arrangements, firm (LD) sales, unit contingent sales, block sales, system sales and all-requirements sales, and covering power generating facilities of all types, including natural gas, coal, nuclear and renewable resources (including wind, solar and biomass).</w:t>
      </w:r>
      <w:r w:rsidR="002111BE">
        <w:rPr>
          <w:rFonts w:ascii="Times New Roman"/>
          <w:color w:val="231F20"/>
          <w:sz w:val="24"/>
          <w:szCs w:val="24"/>
        </w:rPr>
        <w:t xml:space="preserve">  John has also drafted and negotiated stand-alone renewable energy credit agreements for his clients.</w:t>
      </w:r>
    </w:p>
    <w:p w:rsidR="005F48BD" w:rsidRPr="002E4B08" w:rsidRDefault="005F48BD" w:rsidP="002E4B08">
      <w:pPr>
        <w:pStyle w:val="ListParagraph"/>
        <w:tabs>
          <w:tab w:val="left" w:pos="840"/>
        </w:tabs>
        <w:spacing w:before="12"/>
        <w:ind w:left="360"/>
        <w:jc w:val="both"/>
        <w:rPr>
          <w:rFonts w:ascii="Times New Roman"/>
          <w:color w:val="231F20"/>
          <w:sz w:val="24"/>
          <w:szCs w:val="24"/>
        </w:rPr>
      </w:pPr>
    </w:p>
    <w:p w:rsidR="007713C0" w:rsidRPr="0032532F" w:rsidRDefault="005F48BD" w:rsidP="002E4B08">
      <w:pPr>
        <w:pStyle w:val="Heading1"/>
        <w:ind w:left="0"/>
        <w:rPr>
          <w:b w:val="0"/>
          <w:bCs w:val="0"/>
          <w:u w:val="single"/>
        </w:rPr>
      </w:pPr>
      <w:r w:rsidRPr="0032532F">
        <w:rPr>
          <w:b w:val="0"/>
          <w:color w:val="231F20"/>
          <w:u w:val="single"/>
        </w:rPr>
        <w:t xml:space="preserve">SPEECHES AND </w:t>
      </w:r>
      <w:r w:rsidR="00455EE6" w:rsidRPr="0032532F">
        <w:rPr>
          <w:b w:val="0"/>
          <w:color w:val="231F20"/>
          <w:u w:val="single"/>
        </w:rPr>
        <w:t>PUBLICATIONS</w:t>
      </w:r>
      <w:r w:rsidR="00324766" w:rsidRPr="0032532F">
        <w:rPr>
          <w:b w:val="0"/>
          <w:color w:val="231F20"/>
        </w:rPr>
        <w:t>:</w:t>
      </w:r>
    </w:p>
    <w:p w:rsidR="007713C0" w:rsidRPr="002E4B08" w:rsidRDefault="007713C0" w:rsidP="002E4B0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EFA" w:rsidRPr="002E4B08" w:rsidRDefault="005C0EFA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Presenter of </w:t>
      </w:r>
      <w:r w:rsidRPr="002E4B08">
        <w:rPr>
          <w:rFonts w:ascii="Times New Roman"/>
          <w:color w:val="231F20"/>
          <w:sz w:val="24"/>
          <w:szCs w:val="24"/>
        </w:rPr>
        <w:t>“</w:t>
      </w:r>
      <w:r w:rsidRPr="002E4B08">
        <w:rPr>
          <w:rFonts w:ascii="Times New Roman"/>
          <w:color w:val="231F20"/>
          <w:sz w:val="24"/>
          <w:szCs w:val="24"/>
        </w:rPr>
        <w:t>New Nuclear Construction - The Basics of Risk Allocation Among Multiple Co-Owners</w:t>
      </w:r>
      <w:r w:rsidRPr="002E4B08">
        <w:rPr>
          <w:rFonts w:ascii="Times New Roman"/>
          <w:color w:val="231F20"/>
          <w:sz w:val="24"/>
          <w:szCs w:val="24"/>
        </w:rPr>
        <w:t>”</w:t>
      </w:r>
      <w:r w:rsidRPr="002E4B08">
        <w:rPr>
          <w:rFonts w:ascii="Times New Roman"/>
          <w:color w:val="231F20"/>
          <w:sz w:val="24"/>
          <w:szCs w:val="24"/>
        </w:rPr>
        <w:t xml:space="preserve"> at the October 2012 Fourth Annual Nuclear Construction Summit (Charlotte, NC)</w:t>
      </w:r>
    </w:p>
    <w:p w:rsidR="005C0EFA" w:rsidRPr="002E4B08" w:rsidRDefault="005C0EFA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 xml:space="preserve">Presenter during the June 8, 2011 teleconference </w:t>
      </w:r>
      <w:r w:rsidRPr="002E4B08">
        <w:rPr>
          <w:rFonts w:ascii="Times New Roman"/>
          <w:color w:val="231F20"/>
          <w:sz w:val="24"/>
          <w:szCs w:val="24"/>
        </w:rPr>
        <w:t>“</w:t>
      </w:r>
      <w:r w:rsidRPr="002E4B08">
        <w:rPr>
          <w:rFonts w:ascii="Times New Roman"/>
          <w:color w:val="231F20"/>
          <w:sz w:val="24"/>
          <w:szCs w:val="24"/>
        </w:rPr>
        <w:t>Negotiating Power Purchase Agreements for Renewable Energy Projects</w:t>
      </w:r>
      <w:r w:rsidRPr="002E4B08">
        <w:rPr>
          <w:rFonts w:ascii="Times New Roman"/>
          <w:color w:val="231F20"/>
          <w:sz w:val="24"/>
          <w:szCs w:val="24"/>
        </w:rPr>
        <w:t>”</w:t>
      </w:r>
    </w:p>
    <w:p w:rsidR="005F48BD" w:rsidRPr="002E4B08" w:rsidRDefault="00305599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hyperlink r:id="rId11">
        <w:r w:rsidR="00455EE6" w:rsidRPr="002E4B08">
          <w:rPr>
            <w:rFonts w:ascii="Times New Roman"/>
            <w:color w:val="231F20"/>
            <w:sz w:val="24"/>
            <w:szCs w:val="24"/>
          </w:rPr>
          <w:t>“</w:t>
        </w:r>
        <w:r w:rsidR="00455EE6" w:rsidRPr="002E4B08">
          <w:rPr>
            <w:rFonts w:ascii="Times New Roman"/>
            <w:color w:val="231F20"/>
            <w:sz w:val="24"/>
            <w:szCs w:val="24"/>
          </w:rPr>
          <w:t>EPC Agreement Pricing Issues in First of a Kind Power Plant Projects,</w:t>
        </w:r>
        <w:r w:rsidR="00455EE6" w:rsidRPr="002E4B08">
          <w:rPr>
            <w:rFonts w:ascii="Times New Roman"/>
            <w:color w:val="231F20"/>
            <w:sz w:val="24"/>
            <w:szCs w:val="24"/>
          </w:rPr>
          <w:t>”</w:t>
        </w:r>
      </w:hyperlink>
      <w:r w:rsidR="00455EE6" w:rsidRPr="002E4B08">
        <w:rPr>
          <w:rFonts w:ascii="Times New Roman"/>
          <w:color w:val="231F20"/>
          <w:sz w:val="24"/>
          <w:szCs w:val="24"/>
        </w:rPr>
        <w:t xml:space="preserve"> </w:t>
      </w:r>
      <w:r w:rsidR="00455EE6" w:rsidRPr="00324766">
        <w:rPr>
          <w:rFonts w:ascii="Times New Roman"/>
          <w:i/>
          <w:color w:val="231F20"/>
          <w:sz w:val="24"/>
          <w:szCs w:val="24"/>
        </w:rPr>
        <w:t>The</w:t>
      </w:r>
      <w:r w:rsidR="00455EE6" w:rsidRPr="002E4B08">
        <w:rPr>
          <w:rFonts w:ascii="Times New Roman"/>
          <w:color w:val="231F20"/>
          <w:sz w:val="24"/>
          <w:szCs w:val="24"/>
        </w:rPr>
        <w:t xml:space="preserve"> </w:t>
      </w:r>
      <w:r w:rsidR="00455EE6" w:rsidRPr="00324766">
        <w:rPr>
          <w:rFonts w:ascii="Times New Roman"/>
          <w:i/>
          <w:color w:val="231F20"/>
          <w:sz w:val="24"/>
          <w:szCs w:val="24"/>
        </w:rPr>
        <w:t>Voice Construction Users Roundtable Magazine</w:t>
      </w:r>
      <w:r w:rsidR="00455EE6" w:rsidRPr="002E4B08">
        <w:rPr>
          <w:rFonts w:ascii="Times New Roman"/>
          <w:color w:val="231F20"/>
          <w:sz w:val="24"/>
          <w:szCs w:val="24"/>
        </w:rPr>
        <w:t xml:space="preserve"> (Fall 2012)</w:t>
      </w:r>
    </w:p>
    <w:p w:rsidR="007713C0" w:rsidRPr="002E4B08" w:rsidRDefault="00305599" w:rsidP="002E4B08">
      <w:pPr>
        <w:pStyle w:val="ListParagraph"/>
        <w:numPr>
          <w:ilvl w:val="0"/>
          <w:numId w:val="8"/>
        </w:numPr>
        <w:tabs>
          <w:tab w:val="left" w:pos="840"/>
        </w:tabs>
        <w:spacing w:before="12"/>
        <w:jc w:val="both"/>
        <w:rPr>
          <w:rFonts w:ascii="Times New Roman"/>
          <w:color w:val="231F20"/>
          <w:sz w:val="24"/>
          <w:szCs w:val="24"/>
        </w:rPr>
      </w:pPr>
      <w:hyperlink r:id="rId12">
        <w:r w:rsidR="00455EE6" w:rsidRPr="002E4B08">
          <w:rPr>
            <w:rFonts w:ascii="Times New Roman"/>
            <w:color w:val="231F20"/>
            <w:sz w:val="24"/>
            <w:szCs w:val="24"/>
          </w:rPr>
          <w:t>“</w:t>
        </w:r>
        <w:r w:rsidR="00455EE6" w:rsidRPr="002E4B08">
          <w:rPr>
            <w:rFonts w:ascii="Times New Roman"/>
            <w:color w:val="231F20"/>
            <w:sz w:val="24"/>
            <w:szCs w:val="24"/>
          </w:rPr>
          <w:t>Turnkey Nuclear Power Plant EPC Agreements: The Case for Price Certainty,</w:t>
        </w:r>
        <w:r w:rsidR="00455EE6" w:rsidRPr="002E4B08">
          <w:rPr>
            <w:rFonts w:ascii="Times New Roman"/>
            <w:color w:val="231F20"/>
            <w:sz w:val="24"/>
            <w:szCs w:val="24"/>
          </w:rPr>
          <w:t>”</w:t>
        </w:r>
      </w:hyperlink>
      <w:r w:rsidR="00455EE6" w:rsidRPr="002E4B08">
        <w:rPr>
          <w:rFonts w:ascii="Times New Roman"/>
          <w:color w:val="231F20"/>
          <w:sz w:val="24"/>
          <w:szCs w:val="24"/>
        </w:rPr>
        <w:t xml:space="preserve"> </w:t>
      </w:r>
      <w:r w:rsidR="00455EE6" w:rsidRPr="00324766">
        <w:rPr>
          <w:rFonts w:ascii="Times New Roman"/>
          <w:i/>
          <w:color w:val="231F20"/>
          <w:sz w:val="24"/>
          <w:szCs w:val="24"/>
        </w:rPr>
        <w:t>Nuclear Power International Magazine</w:t>
      </w:r>
      <w:r w:rsidR="00455EE6" w:rsidRPr="002E4B08">
        <w:rPr>
          <w:rFonts w:ascii="Times New Roman"/>
          <w:color w:val="231F20"/>
          <w:sz w:val="24"/>
          <w:szCs w:val="24"/>
        </w:rPr>
        <w:t xml:space="preserve"> (June 2008)</w:t>
      </w:r>
    </w:p>
    <w:p w:rsidR="005F48BD" w:rsidRPr="002E4B08" w:rsidRDefault="005F48BD" w:rsidP="002E4B08">
      <w:pPr>
        <w:pStyle w:val="ListParagraph"/>
        <w:tabs>
          <w:tab w:val="left" w:pos="840"/>
        </w:tabs>
        <w:spacing w:before="12"/>
        <w:ind w:left="360"/>
        <w:jc w:val="both"/>
        <w:rPr>
          <w:rFonts w:ascii="Times New Roman"/>
          <w:color w:val="231F20"/>
          <w:sz w:val="24"/>
          <w:szCs w:val="24"/>
        </w:rPr>
      </w:pPr>
    </w:p>
    <w:p w:rsidR="00D47EE0" w:rsidRDefault="00D47EE0" w:rsidP="002E4B08">
      <w:pPr>
        <w:pStyle w:val="Heading1"/>
        <w:ind w:left="0"/>
        <w:rPr>
          <w:b w:val="0"/>
          <w:color w:val="231F20"/>
          <w:u w:val="single"/>
        </w:rPr>
      </w:pPr>
    </w:p>
    <w:p w:rsidR="007713C0" w:rsidRPr="0032532F" w:rsidRDefault="00455EE6" w:rsidP="002E4B08">
      <w:pPr>
        <w:pStyle w:val="Heading1"/>
        <w:ind w:left="0"/>
        <w:rPr>
          <w:b w:val="0"/>
          <w:color w:val="231F20"/>
        </w:rPr>
      </w:pPr>
      <w:r w:rsidRPr="0032532F">
        <w:rPr>
          <w:b w:val="0"/>
          <w:color w:val="231F20"/>
          <w:u w:val="single"/>
        </w:rPr>
        <w:t>EDUCATION</w:t>
      </w:r>
      <w:r w:rsidR="005F48BD" w:rsidRPr="0032532F">
        <w:rPr>
          <w:b w:val="0"/>
          <w:color w:val="231F20"/>
        </w:rPr>
        <w:t>:</w:t>
      </w:r>
    </w:p>
    <w:p w:rsidR="002E4B08" w:rsidRPr="002E4B08" w:rsidRDefault="002E4B08" w:rsidP="002E4B08">
      <w:pPr>
        <w:pStyle w:val="Heading1"/>
        <w:ind w:left="0"/>
        <w:rPr>
          <w:b w:val="0"/>
          <w:bCs w:val="0"/>
        </w:rPr>
      </w:pPr>
    </w:p>
    <w:p w:rsidR="007713C0" w:rsidRPr="002E4B08" w:rsidRDefault="00455EE6" w:rsidP="00324766">
      <w:pPr>
        <w:pStyle w:val="ListParagraph"/>
        <w:numPr>
          <w:ilvl w:val="1"/>
          <w:numId w:val="1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Seton Hall University School of Law (J.D., 1983)</w:t>
      </w:r>
    </w:p>
    <w:p w:rsidR="007713C0" w:rsidRPr="002E4B08" w:rsidRDefault="00455EE6" w:rsidP="00324766">
      <w:pPr>
        <w:pStyle w:val="ListParagraph"/>
        <w:numPr>
          <w:ilvl w:val="1"/>
          <w:numId w:val="1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New Jersey Institute of Technology (B.S. Civil Engineering,</w:t>
      </w:r>
      <w:r w:rsidRPr="002E4B08">
        <w:rPr>
          <w:rFonts w:ascii="Times New Roman"/>
          <w:color w:val="231F20"/>
          <w:spacing w:val="-7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1975)</w:t>
      </w:r>
    </w:p>
    <w:p w:rsidR="007713C0" w:rsidRPr="002E4B08" w:rsidRDefault="007713C0" w:rsidP="003247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713C0" w:rsidRPr="0032532F" w:rsidRDefault="00455EE6" w:rsidP="00324766">
      <w:pPr>
        <w:pStyle w:val="Heading1"/>
        <w:tabs>
          <w:tab w:val="left" w:pos="360"/>
        </w:tabs>
        <w:ind w:left="0"/>
        <w:rPr>
          <w:b w:val="0"/>
          <w:bCs w:val="0"/>
        </w:rPr>
      </w:pPr>
      <w:r w:rsidRPr="0032532F">
        <w:rPr>
          <w:b w:val="0"/>
          <w:color w:val="231F20"/>
          <w:u w:val="single"/>
        </w:rPr>
        <w:t>BAR MEMBERSHIPS</w:t>
      </w:r>
      <w:r w:rsidR="005F48BD" w:rsidRPr="0032532F">
        <w:rPr>
          <w:b w:val="0"/>
          <w:color w:val="231F20"/>
        </w:rPr>
        <w:t>:</w:t>
      </w:r>
    </w:p>
    <w:p w:rsidR="007713C0" w:rsidRPr="002E4B08" w:rsidRDefault="007713C0" w:rsidP="0032476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3C0" w:rsidRPr="002E4B08" w:rsidRDefault="00455EE6" w:rsidP="00324766">
      <w:pPr>
        <w:pStyle w:val="ListParagraph"/>
        <w:numPr>
          <w:ilvl w:val="1"/>
          <w:numId w:val="1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State Bar of</w:t>
      </w:r>
      <w:r w:rsidRPr="002E4B08">
        <w:rPr>
          <w:rFonts w:ascii="Times New Roman"/>
          <w:color w:val="231F20"/>
          <w:spacing w:val="-1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z w:val="24"/>
          <w:szCs w:val="24"/>
        </w:rPr>
        <w:t>Georgia</w:t>
      </w:r>
    </w:p>
    <w:p w:rsidR="007713C0" w:rsidRPr="002E4B08" w:rsidRDefault="00455EE6" w:rsidP="00324766">
      <w:pPr>
        <w:pStyle w:val="ListParagraph"/>
        <w:numPr>
          <w:ilvl w:val="1"/>
          <w:numId w:val="1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State Bar of New</w:t>
      </w:r>
      <w:r w:rsidRPr="002E4B08">
        <w:rPr>
          <w:rFonts w:ascii="Times New Roman"/>
          <w:color w:val="231F20"/>
          <w:spacing w:val="-9"/>
          <w:sz w:val="24"/>
          <w:szCs w:val="24"/>
        </w:rPr>
        <w:t xml:space="preserve"> </w:t>
      </w:r>
      <w:r w:rsidRPr="002E4B08">
        <w:rPr>
          <w:rFonts w:ascii="Times New Roman"/>
          <w:color w:val="231F20"/>
          <w:spacing w:val="-6"/>
          <w:sz w:val="24"/>
          <w:szCs w:val="24"/>
        </w:rPr>
        <w:t>York</w:t>
      </w:r>
    </w:p>
    <w:p w:rsidR="007713C0" w:rsidRPr="002E4B08" w:rsidRDefault="00455EE6" w:rsidP="00324766">
      <w:pPr>
        <w:pStyle w:val="ListParagraph"/>
        <w:numPr>
          <w:ilvl w:val="1"/>
          <w:numId w:val="1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B08">
        <w:rPr>
          <w:rFonts w:ascii="Times New Roman"/>
          <w:color w:val="231F20"/>
          <w:sz w:val="24"/>
          <w:szCs w:val="24"/>
        </w:rPr>
        <w:t>State Bar of New Jersey</w:t>
      </w:r>
    </w:p>
    <w:p w:rsidR="005F48BD" w:rsidRPr="00276C2B" w:rsidRDefault="005F48BD" w:rsidP="002E4B08">
      <w:pPr>
        <w:tabs>
          <w:tab w:val="left" w:pos="840"/>
        </w:tabs>
        <w:spacing w:before="12"/>
        <w:rPr>
          <w:rFonts w:ascii="Times New Roman" w:eastAsia="Times New Roman" w:hAnsi="Times New Roman" w:cs="Times New Roman"/>
          <w:szCs w:val="24"/>
        </w:rPr>
      </w:pPr>
    </w:p>
    <w:sectPr w:rsidR="005F48BD" w:rsidRPr="00276C2B" w:rsidSect="002E4B08">
      <w:headerReference w:type="default" r:id="rId13"/>
      <w:footerReference w:type="default" r:id="rId14"/>
      <w:pgSz w:w="12240" w:h="15840"/>
      <w:pgMar w:top="1440" w:right="1440" w:bottom="1440" w:left="1440" w:header="0" w:footer="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54" w:rsidRDefault="00455EE6">
      <w:r>
        <w:separator/>
      </w:r>
    </w:p>
  </w:endnote>
  <w:endnote w:type="continuationSeparator" w:id="0">
    <w:p w:rsidR="00504354" w:rsidRDefault="0045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C0" w:rsidRDefault="0030559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6.4pt;width:10pt;height:14pt;z-index:-251658752;mso-position-horizontal-relative:page;mso-position-vertical-relative:page" filled="f" stroked="f">
          <v:textbox inset="0,0,0,0">
            <w:txbxContent>
              <w:p w:rsidR="007713C0" w:rsidRDefault="00455EE6">
                <w:pPr>
                  <w:pStyle w:val="BodyText"/>
                  <w:spacing w:before="0" w:line="256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05599">
                  <w:rPr>
                    <w:noProof/>
                    <w:color w:val="231F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54" w:rsidRDefault="00455EE6">
      <w:r>
        <w:separator/>
      </w:r>
    </w:p>
  </w:footnote>
  <w:footnote w:type="continuationSeparator" w:id="0">
    <w:p w:rsidR="00504354" w:rsidRDefault="0045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D3" w:rsidRDefault="00E746D3" w:rsidP="00E746D3">
    <w:pPr>
      <w:pStyle w:val="Header"/>
      <w:pBdr>
        <w:bottom w:val="thickThinSmallGap" w:sz="24" w:space="1" w:color="622423"/>
      </w:pBdr>
      <w:jc w:val="center"/>
      <w:rPr>
        <w:rFonts w:ascii="Baskerville Old Face" w:hAnsi="Baskerville Old Face"/>
        <w:color w:val="002060"/>
        <w:sz w:val="56"/>
        <w:szCs w:val="64"/>
      </w:rPr>
    </w:pPr>
  </w:p>
  <w:p w:rsidR="00E746D3" w:rsidRPr="00A6009F" w:rsidRDefault="00E746D3" w:rsidP="00E746D3">
    <w:pPr>
      <w:pStyle w:val="Header"/>
      <w:pBdr>
        <w:bottom w:val="thickThinSmallGap" w:sz="24" w:space="1" w:color="622423"/>
      </w:pBdr>
      <w:jc w:val="center"/>
      <w:rPr>
        <w:rFonts w:ascii="Baskerville Old Face" w:hAnsi="Baskerville Old Face"/>
        <w:color w:val="002060"/>
        <w:sz w:val="36"/>
        <w:szCs w:val="40"/>
      </w:rPr>
    </w:pPr>
    <w:r w:rsidRPr="00A6009F">
      <w:rPr>
        <w:rFonts w:ascii="Baskerville Old Face" w:hAnsi="Baskerville Old Face"/>
        <w:color w:val="002060"/>
        <w:sz w:val="56"/>
        <w:szCs w:val="64"/>
      </w:rPr>
      <w:t>M</w:t>
    </w:r>
    <w:r w:rsidRPr="00A6009F">
      <w:rPr>
        <w:rFonts w:ascii="Baskerville Old Face" w:hAnsi="Baskerville Old Face"/>
        <w:color w:val="002060"/>
        <w:sz w:val="48"/>
        <w:szCs w:val="52"/>
      </w:rPr>
      <w:t>ERCER</w:t>
    </w:r>
    <w:r w:rsidRPr="00A6009F">
      <w:rPr>
        <w:rFonts w:ascii="Baskerville Old Face" w:hAnsi="Baskerville Old Face"/>
        <w:color w:val="002060"/>
        <w:sz w:val="52"/>
        <w:szCs w:val="56"/>
      </w:rPr>
      <w:t xml:space="preserve"> </w:t>
    </w:r>
    <w:r w:rsidRPr="00A6009F">
      <w:rPr>
        <w:rFonts w:ascii="Baskerville Old Face" w:hAnsi="Baskerville Old Face"/>
        <w:color w:val="002060"/>
        <w:sz w:val="56"/>
        <w:szCs w:val="64"/>
      </w:rPr>
      <w:t>T</w:t>
    </w:r>
    <w:r w:rsidRPr="00A6009F">
      <w:rPr>
        <w:rFonts w:ascii="Baskerville Old Face" w:hAnsi="Baskerville Old Face"/>
        <w:color w:val="002060"/>
        <w:sz w:val="48"/>
        <w:szCs w:val="52"/>
      </w:rPr>
      <w:t>HOMPSON</w:t>
    </w:r>
    <w:r w:rsidRPr="00A6009F">
      <w:rPr>
        <w:rFonts w:ascii="Baskerville Old Face" w:hAnsi="Baskerville Old Face"/>
        <w:color w:val="002060"/>
        <w:sz w:val="44"/>
        <w:szCs w:val="48"/>
      </w:rPr>
      <w:t xml:space="preserve"> </w:t>
    </w:r>
    <w:r w:rsidRPr="00A6009F">
      <w:rPr>
        <w:rFonts w:ascii="Baskerville Old Face" w:hAnsi="Baskerville Old Face"/>
        <w:color w:val="002060"/>
        <w:sz w:val="40"/>
        <w:szCs w:val="36"/>
      </w:rPr>
      <w:t>LLC</w:t>
    </w:r>
  </w:p>
  <w:p w:rsidR="00E746D3" w:rsidRDefault="00E74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29A"/>
    <w:multiLevelType w:val="hybridMultilevel"/>
    <w:tmpl w:val="09EA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B33D1"/>
    <w:multiLevelType w:val="hybridMultilevel"/>
    <w:tmpl w:val="477C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D1A"/>
    <w:multiLevelType w:val="hybridMultilevel"/>
    <w:tmpl w:val="BABA0B00"/>
    <w:lvl w:ilvl="0" w:tplc="040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399C4CC0"/>
    <w:multiLevelType w:val="hybridMultilevel"/>
    <w:tmpl w:val="7F0C4D96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4A0F6D31"/>
    <w:multiLevelType w:val="hybridMultilevel"/>
    <w:tmpl w:val="5164BFA6"/>
    <w:lvl w:ilvl="0" w:tplc="6C7EAC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75F4"/>
    <w:multiLevelType w:val="hybridMultilevel"/>
    <w:tmpl w:val="0BB449EE"/>
    <w:lvl w:ilvl="0" w:tplc="58D8B2D4">
      <w:start w:val="1"/>
      <w:numFmt w:val="bullet"/>
      <w:lvlText w:val="•"/>
      <w:lvlJc w:val="left"/>
      <w:pPr>
        <w:ind w:left="1199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>
    <w:nsid w:val="5EDE36F8"/>
    <w:multiLevelType w:val="hybridMultilevel"/>
    <w:tmpl w:val="08D07A90"/>
    <w:lvl w:ilvl="0" w:tplc="58D8B2D4">
      <w:start w:val="1"/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F5EC0F46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2" w:tplc="4DF6407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B92C6F8E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F3ACC870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0FAEC24A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01B2421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F844E3B0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A143724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</w:abstractNum>
  <w:abstractNum w:abstractNumId="7">
    <w:nsid w:val="6C820477"/>
    <w:multiLevelType w:val="hybridMultilevel"/>
    <w:tmpl w:val="22601DA2"/>
    <w:lvl w:ilvl="0" w:tplc="58D8B2D4">
      <w:start w:val="1"/>
      <w:numFmt w:val="bullet"/>
      <w:lvlText w:val="•"/>
      <w:lvlJc w:val="left"/>
      <w:pPr>
        <w:ind w:left="1199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>
    <w:nsid w:val="728C3781"/>
    <w:multiLevelType w:val="hybridMultilevel"/>
    <w:tmpl w:val="327E74C0"/>
    <w:lvl w:ilvl="0" w:tplc="8E281D1A">
      <w:start w:val="1"/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B2561582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960CC72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3388644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E4F2DE0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49DE455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E8EEB92E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B5C016A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B21EC68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9">
    <w:nsid w:val="744B262A"/>
    <w:multiLevelType w:val="hybridMultilevel"/>
    <w:tmpl w:val="09EC1FC2"/>
    <w:lvl w:ilvl="0" w:tplc="58D8B2D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D73F88"/>
    <w:multiLevelType w:val="hybridMultilevel"/>
    <w:tmpl w:val="FDA42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</w:compat>
  <w:rsids>
    <w:rsidRoot w:val="007713C0"/>
    <w:rsid w:val="0012029E"/>
    <w:rsid w:val="001743CE"/>
    <w:rsid w:val="002078F3"/>
    <w:rsid w:val="002111BE"/>
    <w:rsid w:val="00276C2B"/>
    <w:rsid w:val="002B493F"/>
    <w:rsid w:val="002E4B08"/>
    <w:rsid w:val="002F5AE8"/>
    <w:rsid w:val="00305599"/>
    <w:rsid w:val="00324766"/>
    <w:rsid w:val="0032532F"/>
    <w:rsid w:val="00383AE2"/>
    <w:rsid w:val="00385327"/>
    <w:rsid w:val="003B33B9"/>
    <w:rsid w:val="004552DB"/>
    <w:rsid w:val="00455EE6"/>
    <w:rsid w:val="004B32EA"/>
    <w:rsid w:val="00504354"/>
    <w:rsid w:val="00563458"/>
    <w:rsid w:val="00572735"/>
    <w:rsid w:val="005B6A90"/>
    <w:rsid w:val="005C0EFA"/>
    <w:rsid w:val="005C127D"/>
    <w:rsid w:val="005E0C7A"/>
    <w:rsid w:val="005F48BD"/>
    <w:rsid w:val="0060687C"/>
    <w:rsid w:val="006C25FE"/>
    <w:rsid w:val="006C412D"/>
    <w:rsid w:val="007142E1"/>
    <w:rsid w:val="007713C0"/>
    <w:rsid w:val="00784554"/>
    <w:rsid w:val="00790130"/>
    <w:rsid w:val="0086492B"/>
    <w:rsid w:val="00892424"/>
    <w:rsid w:val="008C3F79"/>
    <w:rsid w:val="008D5261"/>
    <w:rsid w:val="008E10C5"/>
    <w:rsid w:val="008E35B3"/>
    <w:rsid w:val="00906689"/>
    <w:rsid w:val="00921F9E"/>
    <w:rsid w:val="009229D4"/>
    <w:rsid w:val="009C1F89"/>
    <w:rsid w:val="00B04C49"/>
    <w:rsid w:val="00B4093E"/>
    <w:rsid w:val="00B76070"/>
    <w:rsid w:val="00BA21F1"/>
    <w:rsid w:val="00C31B4D"/>
    <w:rsid w:val="00C71032"/>
    <w:rsid w:val="00CC5689"/>
    <w:rsid w:val="00D24B9D"/>
    <w:rsid w:val="00D47EE0"/>
    <w:rsid w:val="00D7334E"/>
    <w:rsid w:val="00DD14B7"/>
    <w:rsid w:val="00E746D3"/>
    <w:rsid w:val="00EE28C3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455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EE6"/>
  </w:style>
  <w:style w:type="paragraph" w:styleId="Footer">
    <w:name w:val="footer"/>
    <w:basedOn w:val="Normal"/>
    <w:link w:val="FooterChar"/>
    <w:uiPriority w:val="99"/>
    <w:unhideWhenUsed/>
    <w:rsid w:val="00455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E6"/>
  </w:style>
  <w:style w:type="paragraph" w:styleId="BalloonText">
    <w:name w:val="Balloon Text"/>
    <w:basedOn w:val="Normal"/>
    <w:link w:val="BalloonTextChar"/>
    <w:uiPriority w:val="99"/>
    <w:semiHidden/>
    <w:unhideWhenUsed/>
    <w:rsid w:val="00E7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6C2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63458"/>
    <w:pPr>
      <w:widowControl/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455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EE6"/>
  </w:style>
  <w:style w:type="paragraph" w:styleId="Footer">
    <w:name w:val="footer"/>
    <w:basedOn w:val="Normal"/>
    <w:link w:val="FooterChar"/>
    <w:uiPriority w:val="99"/>
    <w:unhideWhenUsed/>
    <w:rsid w:val="00455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E6"/>
  </w:style>
  <w:style w:type="paragraph" w:styleId="BalloonText">
    <w:name w:val="Balloon Text"/>
    <w:basedOn w:val="Normal"/>
    <w:link w:val="BalloonTextChar"/>
    <w:uiPriority w:val="99"/>
    <w:semiHidden/>
    <w:unhideWhenUsed/>
    <w:rsid w:val="00E7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6C2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63458"/>
    <w:pPr>
      <w:widowControl/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rcerthompson.com/articles/turke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certhompson.com/files/EPC_Agreement_Pricing_Issues_in_First_of_a_Kind_Power_Plant_Project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mlamberski@mercerthomp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lamberski@mercerthompso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6616</Characters>
  <Application>Microsoft Office Word</Application>
  <DocSecurity>4</DocSecurity>
  <PresentationFormat/>
  <Lines>132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Lamberski Resume- (Featuring Wind M&amp;A) (CMS - Jan 2017) (00036804).DOCX</vt:lpstr>
    </vt:vector>
  </TitlesOfParts>
  <Company>N1C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Lamberski Resume- (Featuring Wind M&amp;A) (CMS - Jan 2017) (00036804).DOCX</dc:title>
  <dc:creator>jlamberski</dc:creator>
  <cp:lastModifiedBy>jlamberski</cp:lastModifiedBy>
  <cp:revision>2</cp:revision>
  <cp:lastPrinted>2018-03-08T22:23:00Z</cp:lastPrinted>
  <dcterms:created xsi:type="dcterms:W3CDTF">2020-05-18T14:31:00Z</dcterms:created>
  <dcterms:modified xsi:type="dcterms:W3CDTF">2020-05-18T14:31:00Z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2015-07-24T00:00:00Z</vt:filetime>
  </property>
</Properties>
</file>